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AD5B8" w14:textId="4D6D5D35" w:rsidR="00467302" w:rsidRDefault="00467302" w:rsidP="00467302">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DIREITO PENAL E PROCESSUAL PENAL. HABEAS CORPUS. TRÁFICO DE DROGAS. ART. 33, LEI 11.343/2006. </w:t>
      </w:r>
      <w:r>
        <w:rPr>
          <w:rFonts w:ascii="Times New Roman" w:eastAsia="Times New Roman" w:hAnsi="Times New Roman" w:cs="Times New Roman"/>
          <w:b/>
          <w:sz w:val="24"/>
          <w:szCs w:val="24"/>
          <w:lang w:eastAsia="pt-BR"/>
        </w:rPr>
        <w:t xml:space="preserve">POSSE DE ARMA DE FOGO. ART. 12, LEI 10.826/2003. </w:t>
      </w:r>
      <w:r w:rsidR="002A7953">
        <w:rPr>
          <w:rFonts w:ascii="Times New Roman" w:eastAsia="Times New Roman" w:hAnsi="Times New Roman" w:cs="Times New Roman"/>
          <w:b/>
          <w:sz w:val="24"/>
          <w:szCs w:val="24"/>
          <w:lang w:eastAsia="pt-BR"/>
        </w:rPr>
        <w:t xml:space="preserve">PRETENSÃO DESCLASSIFICATÓRIA. NÃO CONHECIMENTO. </w:t>
      </w:r>
      <w:r>
        <w:rPr>
          <w:rFonts w:ascii="Times New Roman" w:eastAsia="Times New Roman" w:hAnsi="Times New Roman" w:cs="Times New Roman"/>
          <w:b/>
          <w:sz w:val="24"/>
          <w:szCs w:val="24"/>
          <w:lang w:eastAsia="pt-BR"/>
        </w:rPr>
        <w:t xml:space="preserve">ALEGAÇÃO DE INIDONEIDADE DA FUNDAMENTAÇÃO. </w:t>
      </w:r>
      <w:r w:rsidR="002A7953">
        <w:rPr>
          <w:rFonts w:ascii="Times New Roman" w:eastAsia="Times New Roman" w:hAnsi="Times New Roman" w:cs="Times New Roman"/>
          <w:b/>
          <w:sz w:val="24"/>
          <w:szCs w:val="24"/>
          <w:lang w:eastAsia="pt-BR"/>
        </w:rPr>
        <w:t xml:space="preserve">TRÁFICO DE DROGAS PRATICADO MEDIANTE USO DE ARMA. HIPÓTESE DE RELAÇÃO EM CONTEXTO DE </w:t>
      </w:r>
      <w:r w:rsidR="00856031">
        <w:rPr>
          <w:rFonts w:ascii="Times New Roman" w:eastAsia="Times New Roman" w:hAnsi="Times New Roman" w:cs="Times New Roman"/>
          <w:b/>
          <w:sz w:val="24"/>
          <w:szCs w:val="24"/>
          <w:lang w:eastAsia="pt-BR"/>
        </w:rPr>
        <w:t>ORGANIZAÇÃO</w:t>
      </w:r>
      <w:r w:rsidR="002A7953">
        <w:rPr>
          <w:rFonts w:ascii="Times New Roman" w:eastAsia="Times New Roman" w:hAnsi="Times New Roman" w:cs="Times New Roman"/>
          <w:b/>
          <w:sz w:val="24"/>
          <w:szCs w:val="24"/>
          <w:lang w:eastAsia="pt-BR"/>
        </w:rPr>
        <w:t xml:space="preserve"> CRIMINOSA. REITERAÇÃO DELITIVA. DENÚNCIAS ANÔNIMAS CORROBORADAS POR DILIGÊNCIAS POLICIAIS. PERICULOSIDADE DO AGENTE. GRAVIDADE CONCRETA DA CONDUTA.  NECESSIDADE E ADEQUAÇÃO DA PRISÃO COMO MEDIDA CAUTELAR. CONSTRANGIMENTO ILEGAL NÃO VERIFICADO. CONDIÇÕES PESSOAIS FAVORÁVEIS. IRRELEVÂNCIA. ORDEM PARCIALMENTE CONHECIDA E DENEGADA.</w:t>
      </w:r>
    </w:p>
    <w:p w14:paraId="0E178FEA" w14:textId="6028B275" w:rsidR="002A7953" w:rsidRDefault="00467302" w:rsidP="00467302">
      <w:pPr>
        <w:spacing w:before="240" w:after="240" w:line="360" w:lineRule="auto"/>
        <w:jc w:val="both"/>
        <w:rPr>
          <w:rFonts w:ascii="Times New Roman" w:eastAsia="Times New Roman" w:hAnsi="Times New Roman" w:cs="Times New Roman"/>
          <w:b/>
          <w:i/>
          <w:sz w:val="24"/>
          <w:szCs w:val="24"/>
          <w:lang w:eastAsia="pt-BR"/>
        </w:rPr>
      </w:pPr>
      <w:r>
        <w:rPr>
          <w:rFonts w:ascii="Times New Roman" w:eastAsia="Times New Roman" w:hAnsi="Times New Roman" w:cs="Times New Roman"/>
          <w:b/>
          <w:sz w:val="24"/>
          <w:szCs w:val="24"/>
          <w:lang w:eastAsia="pt-BR"/>
        </w:rPr>
        <w:t xml:space="preserve">1. </w:t>
      </w:r>
      <w:r w:rsidR="002A7953">
        <w:rPr>
          <w:rFonts w:ascii="Times New Roman" w:eastAsia="Times New Roman" w:hAnsi="Times New Roman" w:cs="Times New Roman"/>
          <w:b/>
          <w:sz w:val="24"/>
          <w:szCs w:val="24"/>
          <w:lang w:eastAsia="pt-BR"/>
        </w:rPr>
        <w:t xml:space="preserve">A assunção da premissa de desclassificação da capitulação jurídica, do crime de tráfico de drogas para porte para consumo próprio, exige aprofundamento cognitivo incompatível com o procedimento do </w:t>
      </w:r>
      <w:r w:rsidR="002A7953">
        <w:rPr>
          <w:rFonts w:ascii="Times New Roman" w:eastAsia="Times New Roman" w:hAnsi="Times New Roman" w:cs="Times New Roman"/>
          <w:b/>
          <w:i/>
          <w:sz w:val="24"/>
          <w:szCs w:val="24"/>
          <w:lang w:eastAsia="pt-BR"/>
        </w:rPr>
        <w:t>habeas corpus.</w:t>
      </w:r>
    </w:p>
    <w:p w14:paraId="145323F3" w14:textId="4846AC39" w:rsidR="002A7953" w:rsidRDefault="002A7953" w:rsidP="00467302">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w:t>
      </w:r>
      <w:r w:rsidR="00856031">
        <w:rPr>
          <w:rFonts w:ascii="Times New Roman" w:eastAsia="Times New Roman" w:hAnsi="Times New Roman" w:cs="Times New Roman"/>
          <w:b/>
          <w:sz w:val="24"/>
          <w:szCs w:val="24"/>
          <w:lang w:eastAsia="pt-BR"/>
        </w:rPr>
        <w:t xml:space="preserve"> Configura-se o pressuposto cautelar necessário à decretação da prisão preventiva para garantia da ordem pública quando verificada a hipótese da prática do crime de tráfico, de maneira reiterada, mediante uso de arma de fogo, em contexto de organização criminosa.</w:t>
      </w:r>
    </w:p>
    <w:p w14:paraId="0E5B9324" w14:textId="66141981" w:rsidR="00467302" w:rsidRDefault="00856031" w:rsidP="00467302">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3. </w:t>
      </w:r>
      <w:r w:rsidR="00467302" w:rsidRPr="00856031">
        <w:rPr>
          <w:rFonts w:ascii="Times New Roman" w:eastAsia="Times New Roman" w:hAnsi="Times New Roman" w:cs="Times New Roman"/>
          <w:b/>
          <w:i/>
          <w:sz w:val="24"/>
          <w:szCs w:val="24"/>
          <w:lang w:eastAsia="pt-BR"/>
        </w:rPr>
        <w:t>Writ</w:t>
      </w:r>
      <w:r>
        <w:rPr>
          <w:rFonts w:ascii="Times New Roman" w:eastAsia="Times New Roman" w:hAnsi="Times New Roman" w:cs="Times New Roman"/>
          <w:b/>
          <w:sz w:val="24"/>
          <w:szCs w:val="24"/>
          <w:lang w:eastAsia="pt-BR"/>
        </w:rPr>
        <w:t xml:space="preserve"> parcialmente</w:t>
      </w:r>
      <w:r w:rsidR="00467302">
        <w:rPr>
          <w:rFonts w:ascii="Times New Roman" w:eastAsia="Times New Roman" w:hAnsi="Times New Roman" w:cs="Times New Roman"/>
          <w:b/>
          <w:sz w:val="24"/>
          <w:szCs w:val="24"/>
          <w:lang w:eastAsia="pt-BR"/>
        </w:rPr>
        <w:t xml:space="preserve"> conhecido. Ordem denegada.</w:t>
      </w:r>
    </w:p>
    <w:p w14:paraId="7FFC6A82" w14:textId="77777777" w:rsidR="00467302" w:rsidRDefault="00467302" w:rsidP="00C0763E">
      <w:pPr>
        <w:spacing w:before="240" w:after="240" w:line="360" w:lineRule="auto"/>
        <w:ind w:firstLine="709"/>
        <w:jc w:val="both"/>
        <w:rPr>
          <w:rFonts w:ascii="Times New Roman" w:eastAsia="Times New Roman" w:hAnsi="Times New Roman" w:cs="Times New Roman"/>
          <w:b/>
          <w:sz w:val="24"/>
          <w:szCs w:val="24"/>
          <w:lang w:eastAsia="pt-BR"/>
        </w:rPr>
      </w:pPr>
    </w:p>
    <w:p w14:paraId="702E0484" w14:textId="4FD02A87" w:rsidR="00D74F23" w:rsidRPr="00421B61"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421B61">
        <w:rPr>
          <w:rFonts w:ascii="Times New Roman" w:eastAsia="Times New Roman" w:hAnsi="Times New Roman" w:cs="Times New Roman"/>
          <w:b/>
          <w:sz w:val="24"/>
          <w:szCs w:val="24"/>
          <w:lang w:eastAsia="pt-BR"/>
        </w:rPr>
        <w:t>I – RELATÓRIO</w:t>
      </w:r>
    </w:p>
    <w:p w14:paraId="45A83BC5" w14:textId="77777777" w:rsidR="00452A33" w:rsidRDefault="00421B6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Cuida-se de </w:t>
      </w:r>
      <w:r>
        <w:rPr>
          <w:rFonts w:ascii="Times New Roman" w:eastAsia="Times New Roman" w:hAnsi="Times New Roman" w:cs="Times New Roman"/>
          <w:i/>
          <w:sz w:val="24"/>
          <w:szCs w:val="24"/>
          <w:lang w:eastAsia="pt-BR"/>
        </w:rPr>
        <w:t>habeas corpus</w:t>
      </w:r>
      <w:r>
        <w:rPr>
          <w:rFonts w:ascii="Times New Roman" w:eastAsia="Times New Roman" w:hAnsi="Times New Roman" w:cs="Times New Roman"/>
          <w:sz w:val="24"/>
          <w:szCs w:val="24"/>
          <w:lang w:eastAsia="pt-BR"/>
        </w:rPr>
        <w:t xml:space="preserve"> impetrado por Ricardo Fernandes da Silva, tendo com objeto decreto prisional expedido pelo juízo da Vara Criminal de Matinhos, que aplicou a medida extrema para garantia da ordem pública (evento </w:t>
      </w:r>
      <w:r w:rsidR="00452A33">
        <w:rPr>
          <w:rFonts w:ascii="Times New Roman" w:eastAsia="Times New Roman" w:hAnsi="Times New Roman" w:cs="Times New Roman"/>
          <w:sz w:val="24"/>
          <w:szCs w:val="24"/>
          <w:lang w:eastAsia="pt-BR"/>
        </w:rPr>
        <w:t>20.1 – Ação Penal).</w:t>
      </w:r>
    </w:p>
    <w:p w14:paraId="2DD9CA3D" w14:textId="63BF88D0" w:rsidR="00452A33" w:rsidRDefault="00452A33"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Argumenta o impetrante, em síntese, que: a) possui condições pessoais favoráveis; b) não há comprovação dos pressupostos autorizadores da prisão, tanto assim considerados o </w:t>
      </w:r>
      <w:r>
        <w:rPr>
          <w:rFonts w:ascii="Times New Roman" w:eastAsia="Times New Roman" w:hAnsi="Times New Roman" w:cs="Times New Roman"/>
          <w:i/>
          <w:sz w:val="24"/>
          <w:szCs w:val="24"/>
          <w:lang w:eastAsia="pt-BR"/>
        </w:rPr>
        <w:t xml:space="preserve">fumus comissi delicti </w:t>
      </w:r>
      <w:r>
        <w:rPr>
          <w:rFonts w:ascii="Times New Roman" w:eastAsia="Times New Roman" w:hAnsi="Times New Roman" w:cs="Times New Roman"/>
          <w:sz w:val="24"/>
          <w:szCs w:val="24"/>
          <w:lang w:eastAsia="pt-BR"/>
        </w:rPr>
        <w:t xml:space="preserve">e o </w:t>
      </w:r>
      <w:r>
        <w:rPr>
          <w:rFonts w:ascii="Times New Roman" w:eastAsia="Times New Roman" w:hAnsi="Times New Roman" w:cs="Times New Roman"/>
          <w:i/>
          <w:sz w:val="24"/>
          <w:szCs w:val="24"/>
          <w:lang w:eastAsia="pt-BR"/>
        </w:rPr>
        <w:t>periculum libertatis</w:t>
      </w:r>
      <w:r>
        <w:rPr>
          <w:rFonts w:ascii="Times New Roman" w:eastAsia="Times New Roman" w:hAnsi="Times New Roman" w:cs="Times New Roman"/>
          <w:sz w:val="24"/>
          <w:szCs w:val="24"/>
          <w:lang w:eastAsia="pt-BR"/>
        </w:rPr>
        <w:t xml:space="preserve">; c) é inidônea, porque </w:t>
      </w:r>
      <w:r>
        <w:rPr>
          <w:rFonts w:ascii="Times New Roman" w:eastAsia="Times New Roman" w:hAnsi="Times New Roman" w:cs="Times New Roman"/>
          <w:sz w:val="24"/>
          <w:szCs w:val="24"/>
          <w:lang w:eastAsia="pt-BR"/>
        </w:rPr>
        <w:lastRenderedPageBreak/>
        <w:t>genérica, a fundamentação do decreto prisional; d) são aplicáveis medidas cautelares alternativas (evento 1.1).</w:t>
      </w:r>
    </w:p>
    <w:p w14:paraId="45F08AA0" w14:textId="09054B04" w:rsidR="00452A33" w:rsidRDefault="00452A33"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Indeferiu-se a limiar de relaxamento de prisão postulada (evento 17.1).</w:t>
      </w:r>
    </w:p>
    <w:p w14:paraId="2B1B9020" w14:textId="1A948301" w:rsidR="00452A33" w:rsidRDefault="00452A33"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pelo conhecimento par</w:t>
      </w:r>
      <w:r w:rsidR="004922F6">
        <w:rPr>
          <w:rFonts w:ascii="Times New Roman" w:eastAsia="Times New Roman" w:hAnsi="Times New Roman" w:cs="Times New Roman"/>
          <w:sz w:val="24"/>
          <w:szCs w:val="24"/>
          <w:lang w:eastAsia="pt-BR"/>
        </w:rPr>
        <w:t xml:space="preserve">cial e denegação da ordem. Argumentou o órgão ministerial que as ilações sobre eventual desclassificação da capitulação jurídica, do crime de tráfico para porte para uso, excedem o perímetro cognitivo do </w:t>
      </w:r>
      <w:r w:rsidR="004922F6">
        <w:rPr>
          <w:rFonts w:ascii="Times New Roman" w:eastAsia="Times New Roman" w:hAnsi="Times New Roman" w:cs="Times New Roman"/>
          <w:i/>
          <w:sz w:val="24"/>
          <w:szCs w:val="24"/>
          <w:lang w:eastAsia="pt-BR"/>
        </w:rPr>
        <w:t xml:space="preserve">writ </w:t>
      </w:r>
      <w:r w:rsidR="004922F6">
        <w:rPr>
          <w:rFonts w:ascii="Times New Roman" w:eastAsia="Times New Roman" w:hAnsi="Times New Roman" w:cs="Times New Roman"/>
          <w:sz w:val="24"/>
          <w:szCs w:val="24"/>
          <w:lang w:eastAsia="pt-BR"/>
        </w:rPr>
        <w:t>(evento 25.1).</w:t>
      </w:r>
    </w:p>
    <w:p w14:paraId="0751BF2D" w14:textId="457684D1" w:rsidR="004922F6" w:rsidRDefault="004922F6" w:rsidP="004922F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necessário relato.</w:t>
      </w:r>
    </w:p>
    <w:p w14:paraId="0B7E1AAA" w14:textId="77777777" w:rsidR="004922F6" w:rsidRDefault="004922F6"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0D337E39" w:rsidR="00D74F23" w:rsidRPr="004922F6"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4922F6">
        <w:rPr>
          <w:rFonts w:ascii="Times New Roman" w:eastAsia="Times New Roman" w:hAnsi="Times New Roman" w:cs="Times New Roman"/>
          <w:b/>
          <w:sz w:val="24"/>
          <w:szCs w:val="24"/>
          <w:lang w:eastAsia="pt-BR"/>
        </w:rPr>
        <w:t>II – VOTO E SUA FUNDAMENTAÇÃO</w:t>
      </w:r>
    </w:p>
    <w:p w14:paraId="29719FFA" w14:textId="5A66990A" w:rsidR="004922F6" w:rsidRDefault="004922F6" w:rsidP="00D3271F">
      <w:pPr>
        <w:spacing w:before="240" w:after="240" w:line="360" w:lineRule="auto"/>
        <w:ind w:firstLine="709"/>
        <w:jc w:val="both"/>
        <w:rPr>
          <w:rFonts w:ascii="Times New Roman" w:eastAsia="Times New Roman" w:hAnsi="Times New Roman" w:cs="Times New Roman"/>
          <w:bCs/>
          <w:sz w:val="24"/>
          <w:szCs w:val="24"/>
          <w:lang w:eastAsia="pt-BR"/>
        </w:rPr>
      </w:pPr>
      <w:r w:rsidRPr="004922F6">
        <w:rPr>
          <w:rFonts w:ascii="Times New Roman" w:eastAsia="Times New Roman" w:hAnsi="Times New Roman" w:cs="Times New Roman"/>
          <w:bCs/>
          <w:sz w:val="24"/>
          <w:szCs w:val="24"/>
          <w:lang w:eastAsia="pt-BR"/>
        </w:rPr>
        <w:t>II.I</w:t>
      </w:r>
      <w:r>
        <w:rPr>
          <w:rFonts w:ascii="Times New Roman" w:eastAsia="Times New Roman" w:hAnsi="Times New Roman" w:cs="Times New Roman"/>
          <w:bCs/>
          <w:sz w:val="24"/>
          <w:szCs w:val="24"/>
          <w:lang w:eastAsia="pt-BR"/>
        </w:rPr>
        <w:t xml:space="preserve"> – DO JUÍZO DE ADMISSIBILIDADE</w:t>
      </w:r>
    </w:p>
    <w:p w14:paraId="0323F5D5" w14:textId="6FA97999" w:rsidR="004922F6" w:rsidRDefault="004922F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w:t>
      </w:r>
      <w:r w:rsidR="00917D8F">
        <w:rPr>
          <w:rFonts w:ascii="Times New Roman" w:eastAsia="Times New Roman" w:hAnsi="Times New Roman" w:cs="Times New Roman"/>
          <w:bCs/>
          <w:sz w:val="24"/>
          <w:szCs w:val="24"/>
          <w:lang w:eastAsia="pt-BR"/>
        </w:rPr>
        <w:t>s</w:t>
      </w:r>
      <w:r>
        <w:rPr>
          <w:rFonts w:ascii="Times New Roman" w:eastAsia="Times New Roman" w:hAnsi="Times New Roman" w:cs="Times New Roman"/>
          <w:bCs/>
          <w:sz w:val="24"/>
          <w:szCs w:val="24"/>
          <w:lang w:eastAsia="pt-BR"/>
        </w:rPr>
        <w:t xml:space="preserve"> </w:t>
      </w:r>
      <w:r w:rsidR="00917D8F">
        <w:rPr>
          <w:rFonts w:ascii="Times New Roman" w:eastAsia="Times New Roman" w:hAnsi="Times New Roman" w:cs="Times New Roman"/>
          <w:bCs/>
          <w:sz w:val="24"/>
          <w:szCs w:val="24"/>
          <w:lang w:eastAsia="pt-BR"/>
        </w:rPr>
        <w:t>alegações</w:t>
      </w:r>
      <w:r>
        <w:rPr>
          <w:rFonts w:ascii="Times New Roman" w:eastAsia="Times New Roman" w:hAnsi="Times New Roman" w:cs="Times New Roman"/>
          <w:bCs/>
          <w:sz w:val="24"/>
          <w:szCs w:val="24"/>
          <w:lang w:eastAsia="pt-BR"/>
        </w:rPr>
        <w:t xml:space="preserve"> de não preenchimento do </w:t>
      </w:r>
      <w:r w:rsidRPr="004922F6">
        <w:rPr>
          <w:rFonts w:ascii="Times New Roman" w:eastAsia="Times New Roman" w:hAnsi="Times New Roman" w:cs="Times New Roman"/>
          <w:bCs/>
          <w:i/>
          <w:sz w:val="24"/>
          <w:szCs w:val="24"/>
          <w:lang w:eastAsia="pt-BR"/>
        </w:rPr>
        <w:t>fumus comissi delitici</w:t>
      </w:r>
      <w:r>
        <w:rPr>
          <w:rFonts w:ascii="Times New Roman" w:eastAsia="Times New Roman" w:hAnsi="Times New Roman" w:cs="Times New Roman"/>
          <w:bCs/>
          <w:sz w:val="24"/>
          <w:szCs w:val="24"/>
          <w:lang w:eastAsia="pt-BR"/>
        </w:rPr>
        <w:t xml:space="preserve"> </w:t>
      </w:r>
      <w:r w:rsidR="00917D8F">
        <w:rPr>
          <w:rFonts w:ascii="Times New Roman" w:eastAsia="Times New Roman" w:hAnsi="Times New Roman" w:cs="Times New Roman"/>
          <w:bCs/>
          <w:sz w:val="24"/>
          <w:szCs w:val="24"/>
          <w:lang w:eastAsia="pt-BR"/>
        </w:rPr>
        <w:t xml:space="preserve">e violação do princípio da homogeneidade </w:t>
      </w:r>
      <w:r>
        <w:rPr>
          <w:rFonts w:ascii="Times New Roman" w:eastAsia="Times New Roman" w:hAnsi="Times New Roman" w:cs="Times New Roman"/>
          <w:bCs/>
          <w:sz w:val="24"/>
          <w:szCs w:val="24"/>
          <w:lang w:eastAsia="pt-BR"/>
        </w:rPr>
        <w:t>t</w:t>
      </w:r>
      <w:r w:rsidR="00917D8F">
        <w:rPr>
          <w:rFonts w:ascii="Times New Roman" w:eastAsia="Times New Roman" w:hAnsi="Times New Roman" w:cs="Times New Roman"/>
          <w:bCs/>
          <w:sz w:val="24"/>
          <w:szCs w:val="24"/>
          <w:lang w:eastAsia="pt-BR"/>
        </w:rPr>
        <w:t>ê</w:t>
      </w:r>
      <w:r>
        <w:rPr>
          <w:rFonts w:ascii="Times New Roman" w:eastAsia="Times New Roman" w:hAnsi="Times New Roman" w:cs="Times New Roman"/>
          <w:bCs/>
          <w:sz w:val="24"/>
          <w:szCs w:val="24"/>
          <w:lang w:eastAsia="pt-BR"/>
        </w:rPr>
        <w:t>m como premissa alegação inexistência de prova da materialidade do crime de tráfico de entorpecentes, porquanto consubstanciada a infração penal porte para uso pessoal.</w:t>
      </w:r>
    </w:p>
    <w:p w14:paraId="2BE624E8" w14:textId="683D17EB" w:rsidR="004922F6" w:rsidRDefault="004922F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Em que pesem os argumentos deduzidos pelo impetrante neste particular, a ação penal foi deflagrada em razão da imputação do</w:t>
      </w:r>
      <w:r w:rsidR="00917DAC">
        <w:rPr>
          <w:rFonts w:ascii="Times New Roman" w:eastAsia="Times New Roman" w:hAnsi="Times New Roman" w:cs="Times New Roman"/>
          <w:bCs/>
          <w:sz w:val="24"/>
          <w:szCs w:val="24"/>
          <w:lang w:eastAsia="pt-BR"/>
        </w:rPr>
        <w:t>s</w:t>
      </w:r>
      <w:r>
        <w:rPr>
          <w:rFonts w:ascii="Times New Roman" w:eastAsia="Times New Roman" w:hAnsi="Times New Roman" w:cs="Times New Roman"/>
          <w:bCs/>
          <w:sz w:val="24"/>
          <w:szCs w:val="24"/>
          <w:lang w:eastAsia="pt-BR"/>
        </w:rPr>
        <w:t xml:space="preserve"> delito</w:t>
      </w:r>
      <w:r w:rsidR="00917DAC">
        <w:rPr>
          <w:rFonts w:ascii="Times New Roman" w:eastAsia="Times New Roman" w:hAnsi="Times New Roman" w:cs="Times New Roman"/>
          <w:bCs/>
          <w:sz w:val="24"/>
          <w:szCs w:val="24"/>
          <w:lang w:eastAsia="pt-BR"/>
        </w:rPr>
        <w:t>s</w:t>
      </w:r>
      <w:r>
        <w:rPr>
          <w:rFonts w:ascii="Times New Roman" w:eastAsia="Times New Roman" w:hAnsi="Times New Roman" w:cs="Times New Roman"/>
          <w:bCs/>
          <w:sz w:val="24"/>
          <w:szCs w:val="24"/>
          <w:lang w:eastAsia="pt-BR"/>
        </w:rPr>
        <w:t xml:space="preserve"> de tráfico de drogas, previsto no artigo 33, da Lei 11.343 de 2006</w:t>
      </w:r>
      <w:r w:rsidR="00917DAC">
        <w:rPr>
          <w:rFonts w:ascii="Times New Roman" w:eastAsia="Times New Roman" w:hAnsi="Times New Roman" w:cs="Times New Roman"/>
          <w:bCs/>
          <w:sz w:val="24"/>
          <w:szCs w:val="24"/>
          <w:lang w:eastAsia="pt-BR"/>
        </w:rPr>
        <w:t xml:space="preserve">, e posse irregular de arma de fogo de uso permitido, tipificado no artigo 12, da Lei 10.826 de 2003 </w:t>
      </w:r>
      <w:r>
        <w:rPr>
          <w:rFonts w:ascii="Times New Roman" w:eastAsia="Times New Roman" w:hAnsi="Times New Roman" w:cs="Times New Roman"/>
          <w:bCs/>
          <w:sz w:val="24"/>
          <w:szCs w:val="24"/>
          <w:lang w:eastAsia="pt-BR"/>
        </w:rPr>
        <w:t>(evento 37.1 – Ação Penal).</w:t>
      </w:r>
    </w:p>
    <w:p w14:paraId="12C1C7F4" w14:textId="061C60EF" w:rsidR="00917DAC" w:rsidRDefault="004922F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w:t>
      </w:r>
      <w:r w:rsidR="00917DAC">
        <w:rPr>
          <w:rFonts w:ascii="Times New Roman" w:eastAsia="Times New Roman" w:hAnsi="Times New Roman" w:cs="Times New Roman"/>
          <w:bCs/>
          <w:sz w:val="24"/>
          <w:szCs w:val="24"/>
          <w:lang w:eastAsia="pt-BR"/>
        </w:rPr>
        <w:t>s</w:t>
      </w:r>
      <w:r>
        <w:rPr>
          <w:rFonts w:ascii="Times New Roman" w:eastAsia="Times New Roman" w:hAnsi="Times New Roman" w:cs="Times New Roman"/>
          <w:bCs/>
          <w:sz w:val="24"/>
          <w:szCs w:val="24"/>
          <w:lang w:eastAsia="pt-BR"/>
        </w:rPr>
        <w:t xml:space="preserve"> hipótese</w:t>
      </w:r>
      <w:r w:rsidR="00917DAC">
        <w:rPr>
          <w:rFonts w:ascii="Times New Roman" w:eastAsia="Times New Roman" w:hAnsi="Times New Roman" w:cs="Times New Roman"/>
          <w:bCs/>
          <w:sz w:val="24"/>
          <w:szCs w:val="24"/>
          <w:lang w:eastAsia="pt-BR"/>
        </w:rPr>
        <w:t>s</w:t>
      </w:r>
      <w:r>
        <w:rPr>
          <w:rFonts w:ascii="Times New Roman" w:eastAsia="Times New Roman" w:hAnsi="Times New Roman" w:cs="Times New Roman"/>
          <w:bCs/>
          <w:sz w:val="24"/>
          <w:szCs w:val="24"/>
          <w:lang w:eastAsia="pt-BR"/>
        </w:rPr>
        <w:t xml:space="preserve"> delitiva</w:t>
      </w:r>
      <w:r w:rsidR="00917DAC">
        <w:rPr>
          <w:rFonts w:ascii="Times New Roman" w:eastAsia="Times New Roman" w:hAnsi="Times New Roman" w:cs="Times New Roman"/>
          <w:bCs/>
          <w:sz w:val="24"/>
          <w:szCs w:val="24"/>
          <w:lang w:eastAsia="pt-BR"/>
        </w:rPr>
        <w:t>s</w:t>
      </w:r>
      <w:r>
        <w:rPr>
          <w:rFonts w:ascii="Times New Roman" w:eastAsia="Times New Roman" w:hAnsi="Times New Roman" w:cs="Times New Roman"/>
          <w:bCs/>
          <w:sz w:val="24"/>
          <w:szCs w:val="24"/>
          <w:lang w:eastAsia="pt-BR"/>
        </w:rPr>
        <w:t xml:space="preserve"> encampada</w:t>
      </w:r>
      <w:r w:rsidR="00917DAC">
        <w:rPr>
          <w:rFonts w:ascii="Times New Roman" w:eastAsia="Times New Roman" w:hAnsi="Times New Roman" w:cs="Times New Roman"/>
          <w:bCs/>
          <w:sz w:val="24"/>
          <w:szCs w:val="24"/>
          <w:lang w:eastAsia="pt-BR"/>
        </w:rPr>
        <w:t>s</w:t>
      </w:r>
      <w:r>
        <w:rPr>
          <w:rFonts w:ascii="Times New Roman" w:eastAsia="Times New Roman" w:hAnsi="Times New Roman" w:cs="Times New Roman"/>
          <w:bCs/>
          <w:sz w:val="24"/>
          <w:szCs w:val="24"/>
          <w:lang w:eastAsia="pt-BR"/>
        </w:rPr>
        <w:t xml:space="preserve"> pelo Ministério Público na peça acusatória </w:t>
      </w:r>
      <w:r w:rsidR="00917DAC">
        <w:rPr>
          <w:rFonts w:ascii="Times New Roman" w:eastAsia="Times New Roman" w:hAnsi="Times New Roman" w:cs="Times New Roman"/>
          <w:bCs/>
          <w:sz w:val="24"/>
          <w:szCs w:val="24"/>
          <w:lang w:eastAsia="pt-BR"/>
        </w:rPr>
        <w:t xml:space="preserve">possuem lastro nos elementos de informação angariados na fase de inquérito, indicativos da prática de narcotráfico, pelo </w:t>
      </w:r>
      <w:r w:rsidR="00DD121C">
        <w:rPr>
          <w:rFonts w:ascii="Times New Roman" w:eastAsia="Times New Roman" w:hAnsi="Times New Roman" w:cs="Times New Roman"/>
          <w:bCs/>
          <w:sz w:val="24"/>
          <w:szCs w:val="24"/>
          <w:lang w:eastAsia="pt-BR"/>
        </w:rPr>
        <w:t>impetrante</w:t>
      </w:r>
      <w:r w:rsidR="00917DAC">
        <w:rPr>
          <w:rFonts w:ascii="Times New Roman" w:eastAsia="Times New Roman" w:hAnsi="Times New Roman" w:cs="Times New Roman"/>
          <w:bCs/>
          <w:sz w:val="24"/>
          <w:szCs w:val="24"/>
          <w:lang w:eastAsia="pt-BR"/>
        </w:rPr>
        <w:t>, no ponto c</w:t>
      </w:r>
      <w:r w:rsidR="00DD121C">
        <w:rPr>
          <w:rFonts w:ascii="Times New Roman" w:eastAsia="Times New Roman" w:hAnsi="Times New Roman" w:cs="Times New Roman"/>
          <w:bCs/>
          <w:sz w:val="24"/>
          <w:szCs w:val="24"/>
          <w:lang w:eastAsia="pt-BR"/>
        </w:rPr>
        <w:t>omercial anexo à sua residência, onde foram localizados maconha e uma arma de fogo irregular.</w:t>
      </w:r>
    </w:p>
    <w:p w14:paraId="04BF1C20" w14:textId="63470A2D" w:rsidR="00917DAC" w:rsidRDefault="00917DAC"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O exame da pretensão defensiva desclassificatória, nesse quadro, pressupõe incursão cognitiva verticalizada, para apuração do alegado dol</w:t>
      </w:r>
      <w:r w:rsidR="00917D8F">
        <w:rPr>
          <w:rFonts w:ascii="Times New Roman" w:eastAsia="Times New Roman" w:hAnsi="Times New Roman" w:cs="Times New Roman"/>
          <w:bCs/>
          <w:sz w:val="24"/>
          <w:szCs w:val="24"/>
          <w:lang w:eastAsia="pt-BR"/>
        </w:rPr>
        <w:t>o específico de consumo pessoal, cujo reconhecimento depende de efetiva comprovação da parte que o alega (CPP, art. 156).</w:t>
      </w:r>
      <w:r>
        <w:rPr>
          <w:rFonts w:ascii="Times New Roman" w:eastAsia="Times New Roman" w:hAnsi="Times New Roman" w:cs="Times New Roman"/>
          <w:bCs/>
          <w:sz w:val="24"/>
          <w:szCs w:val="24"/>
          <w:lang w:eastAsia="pt-BR"/>
        </w:rPr>
        <w:t xml:space="preserve"> </w:t>
      </w:r>
    </w:p>
    <w:p w14:paraId="2D0A06C0" w14:textId="086969AD" w:rsidR="004922F6" w:rsidRDefault="00917DAC" w:rsidP="00917D8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lastRenderedPageBreak/>
        <w:t xml:space="preserve">Nesse contexto, o reconhecimento da alegação em questão, </w:t>
      </w:r>
      <w:r w:rsidR="00917D8F">
        <w:rPr>
          <w:rFonts w:ascii="Times New Roman" w:eastAsia="Times New Roman" w:hAnsi="Times New Roman" w:cs="Times New Roman"/>
          <w:bCs/>
          <w:sz w:val="24"/>
          <w:szCs w:val="24"/>
          <w:lang w:eastAsia="pt-BR"/>
        </w:rPr>
        <w:t>im</w:t>
      </w:r>
      <w:r>
        <w:rPr>
          <w:rFonts w:ascii="Times New Roman" w:eastAsia="Times New Roman" w:hAnsi="Times New Roman" w:cs="Times New Roman"/>
          <w:bCs/>
          <w:sz w:val="24"/>
          <w:szCs w:val="24"/>
          <w:lang w:eastAsia="pt-BR"/>
        </w:rPr>
        <w:t xml:space="preserve">portaria na prematura assunção da tese defensiva desclassificatória por via oblíqua, em manifesta transcendência ao limite cognitivo do presente </w:t>
      </w:r>
      <w:r w:rsidRPr="00917D8F">
        <w:rPr>
          <w:rFonts w:ascii="Times New Roman" w:eastAsia="Times New Roman" w:hAnsi="Times New Roman" w:cs="Times New Roman"/>
          <w:bCs/>
          <w:i/>
          <w:sz w:val="24"/>
          <w:szCs w:val="24"/>
          <w:lang w:eastAsia="pt-BR"/>
        </w:rPr>
        <w:t>mandamus</w:t>
      </w:r>
      <w:r w:rsidR="00917D8F">
        <w:rPr>
          <w:rFonts w:ascii="Times New Roman" w:eastAsia="Times New Roman" w:hAnsi="Times New Roman" w:cs="Times New Roman"/>
          <w:bCs/>
          <w:i/>
          <w:sz w:val="24"/>
          <w:szCs w:val="24"/>
          <w:lang w:eastAsia="pt-BR"/>
        </w:rPr>
        <w:t>.</w:t>
      </w:r>
    </w:p>
    <w:p w14:paraId="4F07D429" w14:textId="7F3DA340" w:rsidR="00917D8F" w:rsidRDefault="00917D8F" w:rsidP="00917D8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Portanto, em relação às alegações sobreditas, o </w:t>
      </w:r>
      <w:r>
        <w:rPr>
          <w:rFonts w:ascii="Times New Roman" w:eastAsia="Times New Roman" w:hAnsi="Times New Roman" w:cs="Times New Roman"/>
          <w:bCs/>
          <w:i/>
          <w:sz w:val="24"/>
          <w:szCs w:val="24"/>
          <w:lang w:eastAsia="pt-BR"/>
        </w:rPr>
        <w:t>writ</w:t>
      </w:r>
      <w:r>
        <w:rPr>
          <w:rFonts w:ascii="Times New Roman" w:eastAsia="Times New Roman" w:hAnsi="Times New Roman" w:cs="Times New Roman"/>
          <w:bCs/>
          <w:sz w:val="24"/>
          <w:szCs w:val="24"/>
          <w:lang w:eastAsia="pt-BR"/>
        </w:rPr>
        <w:t xml:space="preserve"> não comporta conhecimento.</w:t>
      </w:r>
    </w:p>
    <w:p w14:paraId="7233B695" w14:textId="4E9DE55A" w:rsidR="00917D8F" w:rsidRPr="00917D8F" w:rsidRDefault="00917D8F" w:rsidP="00917D8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Nas demais matérias, reputam-se satisfeitos os respectivos pressupostos processuais, impondo-se juízo positivo de admissibilidade.</w:t>
      </w:r>
    </w:p>
    <w:p w14:paraId="55D5EEA7" w14:textId="77777777" w:rsidR="004922F6" w:rsidRDefault="004922F6"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3DFA244F" w14:textId="6208DD58" w:rsidR="004922F6" w:rsidRDefault="004922F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 – DO CONSTRANGIMENTO ILEGAL</w:t>
      </w:r>
    </w:p>
    <w:p w14:paraId="5E4F025C" w14:textId="6AC48BD8" w:rsidR="00F9602A" w:rsidRDefault="00F9602A" w:rsidP="00F9602A">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Cinge-se o mérito da ação constitucional à arguição de constrangimento ilegal por inidoneidade dos fundamentos empregados para decretação da prisão preventiva da paciente.</w:t>
      </w:r>
    </w:p>
    <w:p w14:paraId="4B13F396" w14:textId="0C1DFE7D" w:rsidR="001E7DB4" w:rsidRDefault="001E7DB4" w:rsidP="001E7DB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sz w:val="24"/>
          <w:szCs w:val="24"/>
          <w:lang w:eastAsia="pt-BR"/>
        </w:rPr>
        <w:t>Ricardo Fernandes da Silva</w:t>
      </w:r>
      <w:r>
        <w:rPr>
          <w:rFonts w:ascii="Times New Roman" w:eastAsia="Times New Roman" w:hAnsi="Times New Roman" w:cs="Times New Roman"/>
          <w:sz w:val="24"/>
          <w:szCs w:val="24"/>
          <w:lang w:eastAsia="pt-BR"/>
        </w:rPr>
        <w:t xml:space="preserve"> foi preso em situação de flagrante delito, pela prática dos crimes previstos nos artigos </w:t>
      </w:r>
      <w:r w:rsidR="00F9602A">
        <w:rPr>
          <w:rFonts w:ascii="Times New Roman" w:eastAsia="Times New Roman" w:hAnsi="Times New Roman" w:cs="Times New Roman"/>
          <w:sz w:val="24"/>
          <w:szCs w:val="24"/>
          <w:lang w:eastAsia="pt-BR"/>
        </w:rPr>
        <w:t>33, da Lei 11.343 de 2006</w:t>
      </w:r>
      <w:r>
        <w:rPr>
          <w:rFonts w:ascii="Times New Roman" w:eastAsia="Times New Roman" w:hAnsi="Times New Roman" w:cs="Times New Roman"/>
          <w:sz w:val="24"/>
          <w:szCs w:val="24"/>
          <w:lang w:eastAsia="pt-BR"/>
        </w:rPr>
        <w:t xml:space="preserve">, e 12, </w:t>
      </w:r>
      <w:r>
        <w:rPr>
          <w:rFonts w:ascii="Times New Roman" w:eastAsia="Times New Roman" w:hAnsi="Times New Roman" w:cs="Times New Roman"/>
          <w:bCs/>
          <w:sz w:val="24"/>
          <w:szCs w:val="24"/>
          <w:lang w:eastAsia="pt-BR"/>
        </w:rPr>
        <w:t>12, da Lei 10.826 de 2003</w:t>
      </w:r>
      <w:r w:rsidR="00DE33C4">
        <w:rPr>
          <w:rFonts w:ascii="Times New Roman" w:eastAsia="Times New Roman" w:hAnsi="Times New Roman" w:cs="Times New Roman"/>
          <w:bCs/>
          <w:sz w:val="24"/>
          <w:szCs w:val="24"/>
          <w:lang w:eastAsia="pt-BR"/>
        </w:rPr>
        <w:t xml:space="preserve">. A prisão se deu em razão do cumprimento de mandado de busca e apreensão, precedida de investigações que indicaram a hipótese de prática de tráfico de drogas no contexto de </w:t>
      </w:r>
      <w:r w:rsidR="00856031">
        <w:rPr>
          <w:rFonts w:ascii="Times New Roman" w:eastAsia="Times New Roman" w:hAnsi="Times New Roman" w:cs="Times New Roman"/>
          <w:bCs/>
          <w:sz w:val="24"/>
          <w:szCs w:val="24"/>
          <w:lang w:eastAsia="pt-BR"/>
        </w:rPr>
        <w:t>organização</w:t>
      </w:r>
      <w:r w:rsidR="00DE33C4">
        <w:rPr>
          <w:rFonts w:ascii="Times New Roman" w:eastAsia="Times New Roman" w:hAnsi="Times New Roman" w:cs="Times New Roman"/>
          <w:bCs/>
          <w:sz w:val="24"/>
          <w:szCs w:val="24"/>
          <w:lang w:eastAsia="pt-BR"/>
        </w:rPr>
        <w:t xml:space="preserve"> criminosa.</w:t>
      </w:r>
    </w:p>
    <w:p w14:paraId="579409C5" w14:textId="62FFD79C" w:rsidR="00DE33C4" w:rsidRDefault="00A93263" w:rsidP="001E7DB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Nesse contexto, a prisão em flagrante denota satisfação do </w:t>
      </w:r>
      <w:r>
        <w:rPr>
          <w:rFonts w:ascii="Times New Roman" w:eastAsia="Times New Roman" w:hAnsi="Times New Roman" w:cs="Times New Roman"/>
          <w:bCs/>
          <w:i/>
          <w:sz w:val="24"/>
          <w:szCs w:val="24"/>
          <w:lang w:eastAsia="pt-BR"/>
        </w:rPr>
        <w:t xml:space="preserve">fumus comissi deliticti, </w:t>
      </w:r>
      <w:r>
        <w:rPr>
          <w:rFonts w:ascii="Times New Roman" w:eastAsia="Times New Roman" w:hAnsi="Times New Roman" w:cs="Times New Roman"/>
          <w:bCs/>
          <w:sz w:val="24"/>
          <w:szCs w:val="24"/>
          <w:lang w:eastAsia="pt-BR"/>
        </w:rPr>
        <w:t>matizado na comprovação da materialidade das hipóteses delitivas e respectiva autoria.</w:t>
      </w:r>
    </w:p>
    <w:p w14:paraId="0BFF6819" w14:textId="4F177D1C" w:rsidR="00A93263" w:rsidRDefault="00A93263" w:rsidP="001E7DB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Ademais, as circunstâncias relacionadas ao envolvimento com </w:t>
      </w:r>
      <w:r w:rsidR="00856031">
        <w:rPr>
          <w:rFonts w:ascii="Times New Roman" w:eastAsia="Times New Roman" w:hAnsi="Times New Roman" w:cs="Times New Roman"/>
          <w:bCs/>
          <w:sz w:val="24"/>
          <w:szCs w:val="24"/>
          <w:lang w:eastAsia="pt-BR"/>
        </w:rPr>
        <w:t>organização</w:t>
      </w:r>
      <w:r>
        <w:rPr>
          <w:rFonts w:ascii="Times New Roman" w:eastAsia="Times New Roman" w:hAnsi="Times New Roman" w:cs="Times New Roman"/>
          <w:bCs/>
          <w:sz w:val="24"/>
          <w:szCs w:val="24"/>
          <w:lang w:eastAsia="pt-BR"/>
        </w:rPr>
        <w:t xml:space="preserve"> criminosa, destinada à prática de narcotráfico e outros delitos, radicada no litoral paranaense e em Santa Catarina, indicam, em tese, acentuada periculosidade do agente. </w:t>
      </w:r>
    </w:p>
    <w:p w14:paraId="2216707E" w14:textId="6DE16F7E" w:rsidR="00A93263" w:rsidRDefault="00A93263" w:rsidP="001E7DB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 própria associação dos crimes de tráfico e posse de arma de fogo, elemento expressamente referenciado no título prisional, atribui gravidade concreta ao crime. </w:t>
      </w:r>
    </w:p>
    <w:p w14:paraId="089E5E84" w14:textId="60902608" w:rsidR="00604D61" w:rsidRDefault="00A93263" w:rsidP="001E7DB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Ainda, as investigações indicam prática reiterada da prática de tráfico, </w:t>
      </w:r>
      <w:r w:rsidR="00604D61">
        <w:rPr>
          <w:rFonts w:ascii="Times New Roman" w:eastAsia="Times New Roman" w:hAnsi="Times New Roman" w:cs="Times New Roman"/>
          <w:bCs/>
          <w:sz w:val="24"/>
          <w:szCs w:val="24"/>
          <w:lang w:eastAsia="pt-BR"/>
        </w:rPr>
        <w:t xml:space="preserve">consoante inferência dos relatórios elaborados pela polícia </w:t>
      </w:r>
      <w:r w:rsidR="00856031">
        <w:rPr>
          <w:rFonts w:ascii="Times New Roman" w:eastAsia="Times New Roman" w:hAnsi="Times New Roman" w:cs="Times New Roman"/>
          <w:bCs/>
          <w:sz w:val="24"/>
          <w:szCs w:val="24"/>
          <w:lang w:eastAsia="pt-BR"/>
        </w:rPr>
        <w:t>judiciária e denúncias anônimas.</w:t>
      </w:r>
    </w:p>
    <w:p w14:paraId="0A0B18F7" w14:textId="7647A4FD" w:rsidR="00604D61" w:rsidRDefault="00604D61" w:rsidP="001E7DB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Resulta, pois, consubstanciado o necessário </w:t>
      </w:r>
      <w:r>
        <w:rPr>
          <w:rFonts w:ascii="Times New Roman" w:eastAsia="Times New Roman" w:hAnsi="Times New Roman" w:cs="Times New Roman"/>
          <w:bCs/>
          <w:i/>
          <w:sz w:val="24"/>
          <w:szCs w:val="24"/>
          <w:lang w:eastAsia="pt-BR"/>
        </w:rPr>
        <w:t xml:space="preserve">periculum libertatis </w:t>
      </w:r>
      <w:r>
        <w:rPr>
          <w:rFonts w:ascii="Times New Roman" w:eastAsia="Times New Roman" w:hAnsi="Times New Roman" w:cs="Times New Roman"/>
          <w:bCs/>
          <w:sz w:val="24"/>
          <w:szCs w:val="24"/>
          <w:lang w:eastAsia="pt-BR"/>
        </w:rPr>
        <w:t>a justificar a aplicação da prisão cautelar, para acautelamento da ordem pública.</w:t>
      </w:r>
    </w:p>
    <w:p w14:paraId="1E0D799D" w14:textId="77777777" w:rsidR="00604D61" w:rsidRDefault="00604D61" w:rsidP="001E7DB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lastRenderedPageBreak/>
        <w:t>Neste sentido:</w:t>
      </w:r>
    </w:p>
    <w:p w14:paraId="131247D8" w14:textId="21EFA3C3" w:rsidR="00467302" w:rsidRPr="00604D61" w:rsidRDefault="00467302" w:rsidP="00467302">
      <w:pPr>
        <w:spacing w:before="600" w:after="600" w:line="360" w:lineRule="auto"/>
        <w:ind w:left="2268"/>
        <w:jc w:val="both"/>
        <w:rPr>
          <w:rFonts w:ascii="Times New Roman" w:eastAsia="Times New Roman" w:hAnsi="Times New Roman" w:cs="Times New Roman"/>
          <w:bCs/>
          <w:sz w:val="20"/>
          <w:szCs w:val="24"/>
          <w:lang w:eastAsia="pt-BR"/>
        </w:rPr>
      </w:pPr>
      <w:r w:rsidRPr="00467302">
        <w:rPr>
          <w:rFonts w:ascii="Times New Roman" w:eastAsia="Times New Roman" w:hAnsi="Times New Roman" w:cs="Times New Roman"/>
          <w:bCs/>
          <w:sz w:val="20"/>
          <w:szCs w:val="24"/>
          <w:lang w:eastAsia="pt-BR"/>
        </w:rPr>
        <w:t>HABEAS CORPUS. PROCESSUAL PENAL. TRÁFICO DE DROGAS. POSSE IRREGULAR DE MUNIÇÃO DE USO PERMITIDO. PORTE ILEGAL DE ARMA DE FOGO DE USO PERMITIDO E POSSE ILEGAL DE MUNIÇÃO DE USO RESTRITO. PRISÃO PREVENTIVA. ARGUIÇÃO DE INOCÊNCIA. INVIABILIDADE DO REEXAME FÁTICO-PROBATÓRIO. FUNDAMENTAÇÃO IDÔNEA. GRAVIDADE CONCRETA DO DELITO. CONDIÇÕES PESSOAIS FAVORÁVEIS. IRRELEVÂNCIA. ORDEM PARCIALMENTE CONHECIDA E, NESSA EXTENSÃO, DENEGADA. 1. A alegação concernente à inocência do Paciente demanda o reexame da matéria fático-probatória, sendo imprópria na via do habeas corpus. Precedente. 2. A prisão preventiva do Paciente encontra-se suficientemente fundamentada, pois foi decretada em razão da gravidade concreta da conduta que lhe é imputada, evidenciada pela apreensão dos materiais ilícitos, tais como diversas munições de arma de fogo de uso restrito e permitido (15) e um revólver calibre .38, bem como pela apreensão de drogas que pertenceriam ao Acusado, além da reiteração delitiva do Paciente no tráfico de drogas. 3. A existência de condições pessoais favoráveis, tais como primariedade, ocupação lícita e residência fixa, não tem o condão de, por si só, desconstituir a custódia antecipada, caso estejam presentes outros requisitos de ordem objetiva e subjetiva que autorizem a decretação da medida extrema. 4. Ordem parcialmente conhecida e, nessa extensão, denegada.</w:t>
      </w:r>
      <w:r>
        <w:rPr>
          <w:rFonts w:ascii="Times New Roman" w:eastAsia="Times New Roman" w:hAnsi="Times New Roman" w:cs="Times New Roman"/>
          <w:bCs/>
          <w:sz w:val="20"/>
          <w:szCs w:val="24"/>
          <w:lang w:eastAsia="pt-BR"/>
        </w:rPr>
        <w:t xml:space="preserve"> </w:t>
      </w:r>
      <w:r w:rsidRPr="00467302">
        <w:rPr>
          <w:rFonts w:ascii="Times New Roman" w:eastAsia="Times New Roman" w:hAnsi="Times New Roman" w:cs="Times New Roman"/>
          <w:bCs/>
          <w:sz w:val="20"/>
          <w:szCs w:val="24"/>
          <w:lang w:eastAsia="pt-BR"/>
        </w:rPr>
        <w:t>(STJ - HC: 484370 SP 2018/0335433-7, Relator: Ministra LAURITA VAZ, Data de Julgamento: 25/06/2019, T6 - SEXTA TURMA, Data de Publicação: DJe 02/08/2019)</w:t>
      </w:r>
    </w:p>
    <w:p w14:paraId="2046601E" w14:textId="016A256B" w:rsidR="00F9602A" w:rsidRDefault="00604D61" w:rsidP="00F9602A">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Diante dessas premissas, conclui-se pela </w:t>
      </w:r>
      <w:r w:rsidR="00F9602A">
        <w:rPr>
          <w:rFonts w:ascii="Times New Roman" w:eastAsia="Times New Roman" w:hAnsi="Times New Roman" w:cs="Times New Roman"/>
          <w:bCs/>
          <w:sz w:val="24"/>
          <w:szCs w:val="24"/>
          <w:lang w:eastAsia="pt-BR"/>
        </w:rPr>
        <w:t>idoneidade da fundamentação do decreto prisional, porquanto atesta adequação e a necessidade da medida cautelar extrema, em detrimento da aplicação de cautelares alternativas.</w:t>
      </w:r>
    </w:p>
    <w:p w14:paraId="16D28906" w14:textId="77777777" w:rsidR="00467302" w:rsidRDefault="00467302" w:rsidP="00F9602A">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Assim, as condições pessoais favoráveis, alegadas pelo impetrante, são irrelevantes no caso concreto, porquanto não afastam a gravidade concreta e a periculosidade social inferidas das circunstâncias dos fatos.</w:t>
      </w:r>
    </w:p>
    <w:p w14:paraId="602A287A" w14:textId="1974A97B" w:rsidR="00467302" w:rsidRDefault="00467302" w:rsidP="00F9602A">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Sobre tema:</w:t>
      </w:r>
    </w:p>
    <w:p w14:paraId="2B968417" w14:textId="6D3149A3" w:rsidR="00467302" w:rsidRPr="00467302" w:rsidRDefault="00467302" w:rsidP="00467302">
      <w:pPr>
        <w:spacing w:before="600" w:after="600" w:line="360" w:lineRule="auto"/>
        <w:ind w:left="2268"/>
        <w:jc w:val="both"/>
        <w:rPr>
          <w:rFonts w:ascii="Times New Roman" w:eastAsia="Times New Roman" w:hAnsi="Times New Roman" w:cs="Times New Roman"/>
          <w:bCs/>
          <w:sz w:val="20"/>
          <w:szCs w:val="24"/>
          <w:lang w:eastAsia="pt-BR"/>
        </w:rPr>
      </w:pPr>
      <w:r w:rsidRPr="00467302">
        <w:rPr>
          <w:rFonts w:ascii="Times New Roman" w:eastAsia="Times New Roman" w:hAnsi="Times New Roman" w:cs="Times New Roman"/>
          <w:bCs/>
          <w:sz w:val="20"/>
          <w:szCs w:val="24"/>
          <w:lang w:eastAsia="pt-BR"/>
        </w:rPr>
        <w:lastRenderedPageBreak/>
        <w:t>AGRAVO REGIMENTAL NO HABEAS CORPUS. PROCESSUAL PENAL. TRÁFICO ILÍCITO DE DROGAS. SUPOSTA OFENSA AO PRINCÍPIO DA COLEGIALIDADE. NÃO OCORRÊNCIA. PRISÃO PREVENTIVA. REQUISITOS. GRAVIDADE CONCRETA DO DELITO. QUANTIDADE DA DROGA APREENDIDA. FUNDAMENTAÇÃO IDÔNEA. MEDIDAS CAUTELARES DIVERSAS. INSUFICIÊNCIA, NA HIPÓTESE. CONDIÇÕES PESSOAIS FAVORÁVEIS. IRRELEVÂNCIA, NO CASO. AGRAVO REGIMENTAL DESPROVIDO. 1. Segundo reiterada manifestação desta Corte, não viola o princípio da colegialidade a decisão monocrática do Relator calcada em jurisprudência dominante do Superior Tribunal de Justiça, tendo em vista a possibilidade de submissão do julgado ao exame do Órgão Colegiado, mediante a interposição de agravo regimental. 2. No caso, a prisão preventiva do Agravante foi decretada com fundamento na gravidade concreta do delito, evidenciada pela elevada quantidade de droga apreendida sendo transportada entre Estados da Federação, de modo a justificar, nos termos da jurisprudência desta Corte Superior de Justiça, a segregação cautelar para garantia da ordem pública. 3. Demonstrada pelas instâncias originárias, com expressa menção às peculiaridades do caso concreto, a necessidade da imposição da prisão preventiva, não se mostra suficiente a aplicação de quaisquer das medidas cautelares alternativas à prisão, elencadas no art. 319 do Código de Processo Penal. 4. Ressalta-se que a existência de condições pessoais favoráveis não tem o condão de, por si só, desconstituir a custódia antecipada, caso estejam presentes um dos requisitos de ordem objetiva e subjetiva que autorizem a decretação da medida extrema, como ocorre, na espécie. 5. Agravo regimental desprovido.</w:t>
      </w:r>
      <w:r>
        <w:rPr>
          <w:rFonts w:ascii="Times New Roman" w:eastAsia="Times New Roman" w:hAnsi="Times New Roman" w:cs="Times New Roman"/>
          <w:bCs/>
          <w:sz w:val="20"/>
          <w:szCs w:val="24"/>
          <w:lang w:eastAsia="pt-BR"/>
        </w:rPr>
        <w:t xml:space="preserve"> </w:t>
      </w:r>
      <w:r w:rsidRPr="00467302">
        <w:rPr>
          <w:rFonts w:ascii="Times New Roman" w:eastAsia="Times New Roman" w:hAnsi="Times New Roman" w:cs="Times New Roman"/>
          <w:bCs/>
          <w:sz w:val="20"/>
          <w:szCs w:val="24"/>
          <w:lang w:eastAsia="pt-BR"/>
        </w:rPr>
        <w:t>(STJ - AgRg no HC: 792438 GO 2022/0401254-2, Relator: Ministra LAURITA VAZ, Data de Julgamento: 20/03/2023, T6 - SEXTA TURMA, Data de Publicação: DJe 29/03/2023)</w:t>
      </w:r>
    </w:p>
    <w:p w14:paraId="46E219DE" w14:textId="77777777" w:rsidR="00F9602A" w:rsidRDefault="00F9602A" w:rsidP="00F9602A">
      <w:pPr>
        <w:spacing w:before="240" w:after="240" w:line="360" w:lineRule="auto"/>
        <w:ind w:firstLine="709"/>
        <w:jc w:val="both"/>
        <w:rPr>
          <w:rFonts w:ascii="Times New Roman" w:eastAsia="Times New Roman" w:hAnsi="Times New Roman" w:cs="Times New Roman"/>
          <w:bCs/>
          <w:i/>
          <w:sz w:val="24"/>
          <w:szCs w:val="24"/>
          <w:lang w:eastAsia="pt-BR"/>
        </w:rPr>
      </w:pPr>
      <w:r>
        <w:rPr>
          <w:rFonts w:ascii="Times New Roman" w:eastAsia="Times New Roman" w:hAnsi="Times New Roman" w:cs="Times New Roman"/>
          <w:bCs/>
          <w:sz w:val="24"/>
          <w:szCs w:val="24"/>
          <w:lang w:eastAsia="pt-BR"/>
        </w:rPr>
        <w:t xml:space="preserve">A prisão, portanto, foi decretada com estrita observância ao disposto nos artigos 282, 312 e 315, do Código de Processo Penal, inexistindo constrangimento ilegal a justificar concessão de </w:t>
      </w:r>
      <w:r>
        <w:rPr>
          <w:rFonts w:ascii="Times New Roman" w:eastAsia="Times New Roman" w:hAnsi="Times New Roman" w:cs="Times New Roman"/>
          <w:bCs/>
          <w:i/>
          <w:sz w:val="24"/>
          <w:szCs w:val="24"/>
          <w:lang w:eastAsia="pt-BR"/>
        </w:rPr>
        <w:t>habeas corpus.</w:t>
      </w:r>
    </w:p>
    <w:p w14:paraId="6B07319D" w14:textId="77777777" w:rsidR="00F9602A" w:rsidRDefault="00F9602A" w:rsidP="00F9602A">
      <w:pPr>
        <w:spacing w:before="240" w:after="240" w:line="360" w:lineRule="auto"/>
        <w:ind w:firstLine="709"/>
        <w:jc w:val="both"/>
        <w:rPr>
          <w:rFonts w:ascii="Times New Roman" w:eastAsia="Times New Roman" w:hAnsi="Times New Roman" w:cs="Times New Roman"/>
          <w:sz w:val="24"/>
          <w:szCs w:val="24"/>
          <w:lang w:eastAsia="pt-BR"/>
        </w:rPr>
      </w:pPr>
    </w:p>
    <w:p w14:paraId="0E073752" w14:textId="77777777" w:rsidR="00F9602A" w:rsidRDefault="00F9602A" w:rsidP="00F9602A">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CONCLUSÃO</w:t>
      </w:r>
    </w:p>
    <w:p w14:paraId="45E1EBD4" w14:textId="28E2084B" w:rsidR="00F9602A" w:rsidRDefault="00604D61" w:rsidP="00F9602A">
      <w:pPr>
        <w:spacing w:before="240" w:after="240" w:line="360" w:lineRule="auto"/>
        <w:ind w:firstLine="709"/>
        <w:jc w:val="both"/>
        <w:rPr>
          <w:rFonts w:ascii="Times New Roman" w:eastAsia="Times New Roman" w:hAnsi="Times New Roman" w:cs="Times New Roman"/>
          <w:i/>
          <w:sz w:val="24"/>
          <w:szCs w:val="24"/>
          <w:lang w:eastAsia="pt-BR"/>
        </w:rPr>
      </w:pPr>
      <w:r>
        <w:rPr>
          <w:rFonts w:ascii="Times New Roman" w:eastAsia="Times New Roman" w:hAnsi="Times New Roman" w:cs="Times New Roman"/>
          <w:sz w:val="24"/>
          <w:szCs w:val="24"/>
          <w:lang w:eastAsia="pt-BR"/>
        </w:rPr>
        <w:t>Ante o exposto</w:t>
      </w:r>
      <w:r w:rsidR="00F9602A">
        <w:rPr>
          <w:rFonts w:ascii="Times New Roman" w:eastAsia="Times New Roman" w:hAnsi="Times New Roman" w:cs="Times New Roman"/>
          <w:sz w:val="24"/>
          <w:szCs w:val="24"/>
          <w:lang w:eastAsia="pt-BR"/>
        </w:rPr>
        <w:t xml:space="preserve">, a solução a ser adotada consiste no conhecimento e denegação da ordem de </w:t>
      </w:r>
      <w:r w:rsidR="00F9602A">
        <w:rPr>
          <w:rFonts w:ascii="Times New Roman" w:eastAsia="Times New Roman" w:hAnsi="Times New Roman" w:cs="Times New Roman"/>
          <w:i/>
          <w:sz w:val="24"/>
          <w:szCs w:val="24"/>
          <w:lang w:eastAsia="pt-BR"/>
        </w:rPr>
        <w:t>habeas corpus.</w:t>
      </w:r>
    </w:p>
    <w:p w14:paraId="7AFC9F0D" w14:textId="6DFEBA28" w:rsidR="004922F6" w:rsidRDefault="00F9602A"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lastRenderedPageBreak/>
        <w:t>É como voto.</w:t>
      </w:r>
    </w:p>
    <w:p w14:paraId="159E046B" w14:textId="77777777" w:rsidR="00F9602A" w:rsidRDefault="00F9602A"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583DCE54" w14:textId="709BE506" w:rsidR="004922F6" w:rsidRPr="004922F6" w:rsidRDefault="004922F6" w:rsidP="00D3271F">
      <w:pPr>
        <w:spacing w:before="240" w:after="240" w:line="360" w:lineRule="auto"/>
        <w:ind w:firstLine="709"/>
        <w:jc w:val="both"/>
        <w:rPr>
          <w:rFonts w:ascii="Times New Roman" w:eastAsia="Times New Roman" w:hAnsi="Times New Roman" w:cs="Times New Roman"/>
          <w:b/>
          <w:bCs/>
          <w:sz w:val="24"/>
          <w:szCs w:val="24"/>
          <w:lang w:eastAsia="pt-BR"/>
        </w:rPr>
      </w:pPr>
      <w:r w:rsidRPr="004922F6">
        <w:rPr>
          <w:rFonts w:ascii="Times New Roman" w:eastAsia="Times New Roman" w:hAnsi="Times New Roman" w:cs="Times New Roman"/>
          <w:b/>
          <w:bCs/>
          <w:sz w:val="24"/>
          <w:szCs w:val="24"/>
          <w:lang w:eastAsia="pt-BR"/>
        </w:rPr>
        <w:t>III – DECISÃO</w:t>
      </w:r>
      <w:bookmarkEnd w:id="0"/>
    </w:p>
    <w:sectPr w:rsidR="004922F6" w:rsidRPr="004922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E7DB4"/>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53"/>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21B61"/>
    <w:rsid w:val="004350B9"/>
    <w:rsid w:val="0043568B"/>
    <w:rsid w:val="004365EC"/>
    <w:rsid w:val="004370D3"/>
    <w:rsid w:val="0043718D"/>
    <w:rsid w:val="00440350"/>
    <w:rsid w:val="00444E6D"/>
    <w:rsid w:val="00444E7B"/>
    <w:rsid w:val="004452B0"/>
    <w:rsid w:val="00452A33"/>
    <w:rsid w:val="0046475D"/>
    <w:rsid w:val="00467302"/>
    <w:rsid w:val="0046793C"/>
    <w:rsid w:val="00471D31"/>
    <w:rsid w:val="0048354C"/>
    <w:rsid w:val="00483D1A"/>
    <w:rsid w:val="00483F6A"/>
    <w:rsid w:val="004848C3"/>
    <w:rsid w:val="004922F6"/>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4D6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56031"/>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17D8F"/>
    <w:rsid w:val="00917DAC"/>
    <w:rsid w:val="00920F60"/>
    <w:rsid w:val="0092399A"/>
    <w:rsid w:val="00934110"/>
    <w:rsid w:val="009377B3"/>
    <w:rsid w:val="00941715"/>
    <w:rsid w:val="00944BFD"/>
    <w:rsid w:val="009518A8"/>
    <w:rsid w:val="00953A10"/>
    <w:rsid w:val="00956B72"/>
    <w:rsid w:val="00960A02"/>
    <w:rsid w:val="00983BB9"/>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93263"/>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D121C"/>
    <w:rsid w:val="00DE0043"/>
    <w:rsid w:val="00DE0ADC"/>
    <w:rsid w:val="00DE1212"/>
    <w:rsid w:val="00DE2739"/>
    <w:rsid w:val="00DE33C4"/>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9602A"/>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356976760">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874348153">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5B244D-B366-4EFB-AB61-01D64A1BE1EB}">
  <ds:schemaRefs>
    <ds:schemaRef ds:uri="http://schemas.openxmlformats.org/officeDocument/2006/bibliography"/>
  </ds:schemaRefs>
</ds:datastoreItem>
</file>

<file path=customXml/itemProps2.xml><?xml version="1.0" encoding="utf-8"?>
<ds:datastoreItem xmlns:ds="http://schemas.openxmlformats.org/officeDocument/2006/customXml" ds:itemID="{9AAEADD5-DC9A-4579-A090-D43111EBE756}"/>
</file>

<file path=customXml/itemProps3.xml><?xml version="1.0" encoding="utf-8"?>
<ds:datastoreItem xmlns:ds="http://schemas.openxmlformats.org/officeDocument/2006/customXml" ds:itemID="{99E5531E-77D2-40B1-A2B6-DE7B788CD2F8}"/>
</file>

<file path=customXml/itemProps4.xml><?xml version="1.0" encoding="utf-8"?>
<ds:datastoreItem xmlns:ds="http://schemas.openxmlformats.org/officeDocument/2006/customXml" ds:itemID="{AF52E7CB-EA13-42F7-B556-86432DD92AD7}"/>
</file>

<file path=docProps/app.xml><?xml version="1.0" encoding="utf-8"?>
<Properties xmlns="http://schemas.openxmlformats.org/officeDocument/2006/extended-properties" xmlns:vt="http://schemas.openxmlformats.org/officeDocument/2006/docPropsVTypes">
  <Template>Normal</Template>
  <TotalTime>1119</TotalTime>
  <Pages>6</Pages>
  <Words>1481</Words>
  <Characters>8003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12</cp:revision>
  <cp:lastPrinted>2023-02-01T16:46:00Z</cp:lastPrinted>
  <dcterms:created xsi:type="dcterms:W3CDTF">2023-06-15T19:39:00Z</dcterms:created>
  <dcterms:modified xsi:type="dcterms:W3CDTF">2024-01-31T17:32:00Z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356200</vt:r8>
  </property>
</Properties>
</file>