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3FFC9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 - RELATÓRIO</w:t>
      </w:r>
    </w:p>
    <w:p w14:paraId="42750A38" w14:textId="73B19210" w:rsidR="009C36FC" w:rsidRDefault="000F3022" w:rsidP="00D61D7E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</w:t>
      </w:r>
      <w:r w:rsidR="00735826">
        <w:t xml:space="preserve"> por </w:t>
      </w:r>
      <w:r w:rsidR="009C36FC">
        <w:t>Rodil Madeiras e Materiais para Construção Ltda. em face de Depósito Rolândia – Comércio de Materiais para Construção Ltda., tendo como objeto decisão proferida pelo juízo da 6ª Vara Cível de Londrina, que indeferiu pedido de declaração da prescrição intercorrente (</w:t>
      </w:r>
      <w:r w:rsidR="005F0D58">
        <w:t>evento 465.1 – autos de origem).</w:t>
      </w:r>
    </w:p>
    <w:p w14:paraId="16863533" w14:textId="79F2437D" w:rsidR="005F0D58" w:rsidRDefault="005F0D58" w:rsidP="00D61D7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Postula a parte agravante, em sede de liminar, o recebimento do recurso em seu efeito suspensivo ativo (evento 1.1).</w:t>
      </w:r>
    </w:p>
    <w:p w14:paraId="47C1F8DC" w14:textId="5B4D52F9" w:rsidR="005F0D58" w:rsidRDefault="005F0D58" w:rsidP="00D61D7E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É o necessário relato.</w:t>
      </w:r>
    </w:p>
    <w:p w14:paraId="1B56943A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63813535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14:paraId="1A1CA652" w14:textId="4D6BA3AD" w:rsidR="00D72BA8" w:rsidRDefault="000F3022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Passa-se, à luz do disposto no artigo 1.019, inciso I, do Código de Processo Civil, e no artigo 182, inciso XXII, do Regimento Interno do Tribunal de Justiça, à análise do requerimento de atribuição de efeito suspensivo ao recurso</w:t>
      </w:r>
      <w:r w:rsidR="00033E6D">
        <w:t>.</w:t>
      </w:r>
    </w:p>
    <w:p w14:paraId="74B4A5E1" w14:textId="221AB3B1" w:rsidR="005F0D58" w:rsidRDefault="006F27C0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Em que pesem os argumentos deduzidos nas razões de inconformismo, </w:t>
      </w:r>
      <w:r w:rsidR="00842209">
        <w:t>inexiste demonstração empiricamente verificável</w:t>
      </w:r>
      <w:r w:rsidR="005F0D58">
        <w:t xml:space="preserve"> do incremento do risco de dano, pessoal, patrimonial ou processual, como resultado da projeção temporal necessária para formação do contraditório e submissão do recurso ao julgamento colegiado.</w:t>
      </w:r>
    </w:p>
    <w:p w14:paraId="58847B5B" w14:textId="5B83B6FE" w:rsidR="005F0D58" w:rsidRDefault="005F0D58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 parte agravante sequer se desincumbiu do ônus argumentativo de indicar os elementos caracterizadores dos pressupostos legais do efeito suspensivo.</w:t>
      </w:r>
    </w:p>
    <w:p w14:paraId="716100AC" w14:textId="44E2B2B4" w:rsidR="005F0D58" w:rsidRDefault="005F0D58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Não se cogita, portanto, atribuição de repercussão jurídica incaracterística ao agravo de instrumento.</w:t>
      </w:r>
    </w:p>
    <w:p w14:paraId="4E1F924C" w14:textId="478FC257" w:rsidR="006E73AD" w:rsidRPr="00903197" w:rsidRDefault="006E73AD" w:rsidP="006936AA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 presente decisão, entrementes, é concebida em estado </w:t>
      </w:r>
      <w:r>
        <w:rPr>
          <w:i/>
        </w:rPr>
        <w:t>rebus sic stantibus</w:t>
      </w:r>
      <w:r>
        <w:t>, passível de alteração pelo colegiado.</w:t>
      </w:r>
    </w:p>
    <w:p w14:paraId="0710968E" w14:textId="77777777" w:rsidR="000F3022" w:rsidRPr="00903197" w:rsidRDefault="000F3022" w:rsidP="00797163">
      <w:pPr>
        <w:pStyle w:val="NormalWeb"/>
        <w:spacing w:before="0" w:beforeAutospacing="0" w:after="240" w:afterAutospacing="0" w:line="360" w:lineRule="auto"/>
        <w:ind w:left="709" w:hanging="709"/>
        <w:jc w:val="both"/>
      </w:pPr>
    </w:p>
    <w:p w14:paraId="226C6B94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III – DECISÃO</w:t>
      </w:r>
    </w:p>
    <w:p w14:paraId="3467C3C4" w14:textId="588574E9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6936AA">
        <w:t>indefere-se o efeito suspensivo almejado.</w:t>
      </w:r>
    </w:p>
    <w:p w14:paraId="0BCDF61F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desta decisão.</w:t>
      </w:r>
    </w:p>
    <w:p w14:paraId="7767B469" w14:textId="77777777" w:rsidR="00D72BA8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Intime-se a parte agravada, facultando-se resposta no prazo legal (CPC, art. 1.019, II).</w:t>
      </w:r>
    </w:p>
    <w:p w14:paraId="60812657" w14:textId="77777777" w:rsidR="00DA36D7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Após, concluam-se os autos. </w:t>
      </w:r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33E6D"/>
    <w:rsid w:val="000F3022"/>
    <w:rsid w:val="001C172B"/>
    <w:rsid w:val="001D5E35"/>
    <w:rsid w:val="002A7FA2"/>
    <w:rsid w:val="002B3C29"/>
    <w:rsid w:val="00330A80"/>
    <w:rsid w:val="005378C7"/>
    <w:rsid w:val="005A4213"/>
    <w:rsid w:val="005F0D58"/>
    <w:rsid w:val="006936AA"/>
    <w:rsid w:val="006E73AD"/>
    <w:rsid w:val="006F27C0"/>
    <w:rsid w:val="00704CE9"/>
    <w:rsid w:val="00727FE5"/>
    <w:rsid w:val="00733889"/>
    <w:rsid w:val="00735826"/>
    <w:rsid w:val="00797163"/>
    <w:rsid w:val="00842209"/>
    <w:rsid w:val="00903197"/>
    <w:rsid w:val="00935666"/>
    <w:rsid w:val="009561A7"/>
    <w:rsid w:val="009C36FC"/>
    <w:rsid w:val="00A153DD"/>
    <w:rsid w:val="00AA1AC5"/>
    <w:rsid w:val="00BD3F10"/>
    <w:rsid w:val="00BF7ECF"/>
    <w:rsid w:val="00C82265"/>
    <w:rsid w:val="00C957C8"/>
    <w:rsid w:val="00D61D7E"/>
    <w:rsid w:val="00D72BA8"/>
    <w:rsid w:val="00DA36D7"/>
    <w:rsid w:val="00DF5BEC"/>
    <w:rsid w:val="00E17886"/>
    <w:rsid w:val="00E231DA"/>
    <w:rsid w:val="00E6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DF73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124AF-0E28-489B-8A9F-BC3B2A4F9631}"/>
</file>

<file path=customXml/itemProps2.xml><?xml version="1.0" encoding="utf-8"?>
<ds:datastoreItem xmlns:ds="http://schemas.openxmlformats.org/officeDocument/2006/customXml" ds:itemID="{FEB69F2B-5BAA-40D2-BE25-2303D4C45224}"/>
</file>

<file path=customXml/itemProps3.xml><?xml version="1.0" encoding="utf-8"?>
<ds:datastoreItem xmlns:ds="http://schemas.openxmlformats.org/officeDocument/2006/customXml" ds:itemID="{DB6A0282-51DE-4B80-A374-A38D575892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27</cp:revision>
  <dcterms:created xsi:type="dcterms:W3CDTF">2023-10-16T20:56:00Z</dcterms:created>
  <dcterms:modified xsi:type="dcterms:W3CDTF">2024-11-13T21:09:00Z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317800</vt:r8>
  </property>
</Properties>
</file>