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4B5D4" w14:textId="572C1A2B" w:rsidR="002E4187"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 xml:space="preserve">DIREITO CIVIL E PROCESSUAL CIVIL. EMBARGOS DE DECLARAÇÃO. </w:t>
      </w:r>
      <w:r w:rsidR="002518C2">
        <w:rPr>
          <w:rFonts w:ascii="Times New Roman" w:eastAsia="Times New Roman" w:hAnsi="Times New Roman" w:cs="Times New Roman"/>
          <w:b/>
          <w:sz w:val="24"/>
          <w:szCs w:val="24"/>
          <w:lang w:eastAsia="pt-BR"/>
        </w:rPr>
        <w:t xml:space="preserve">AGRAVO DE INSTRUMENTO. INCIDENTE. DESCONSIDERAÇÃO. PERSONALIDADE JURÍDICA. </w:t>
      </w:r>
      <w:r w:rsidR="002E4187">
        <w:rPr>
          <w:rFonts w:ascii="Times New Roman" w:eastAsia="Times New Roman" w:hAnsi="Times New Roman" w:cs="Times New Roman"/>
          <w:b/>
          <w:sz w:val="24"/>
          <w:szCs w:val="24"/>
          <w:lang w:eastAsia="pt-BR"/>
        </w:rPr>
        <w:t>OMISSÃO. TEORIA MENOR.</w:t>
      </w:r>
      <w:r w:rsidR="00BA71B0">
        <w:rPr>
          <w:rFonts w:ascii="Times New Roman" w:eastAsia="Times New Roman" w:hAnsi="Times New Roman" w:cs="Times New Roman"/>
          <w:b/>
          <w:sz w:val="24"/>
          <w:szCs w:val="24"/>
          <w:lang w:eastAsia="pt-BR"/>
        </w:rPr>
        <w:t xml:space="preserve"> ADMINISTRADOR. NÃO-SÓCIO.</w:t>
      </w:r>
    </w:p>
    <w:p w14:paraId="7D7D0A36" w14:textId="77777777" w:rsidR="005E09DC" w:rsidRPr="0079002C"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79002C">
        <w:rPr>
          <w:rFonts w:ascii="Times New Roman" w:eastAsia="Times New Roman" w:hAnsi="Times New Roman" w:cs="Times New Roman"/>
          <w:b/>
          <w:sz w:val="24"/>
          <w:szCs w:val="24"/>
          <w:lang w:eastAsia="pt-BR"/>
        </w:rPr>
        <w:t>I. CASO EM EXAME</w:t>
      </w:r>
    </w:p>
    <w:p w14:paraId="5E96C2C5" w14:textId="58BAF0EF" w:rsidR="002518C2" w:rsidRPr="0079002C" w:rsidRDefault="002518C2" w:rsidP="005E09DC">
      <w:pPr>
        <w:spacing w:before="240" w:after="240" w:line="360" w:lineRule="auto"/>
        <w:jc w:val="both"/>
        <w:rPr>
          <w:rFonts w:ascii="Times New Roman" w:eastAsia="Times New Roman" w:hAnsi="Times New Roman" w:cs="Times New Roman"/>
          <w:b/>
          <w:sz w:val="24"/>
          <w:szCs w:val="24"/>
          <w:lang w:eastAsia="pt-BR"/>
        </w:rPr>
      </w:pPr>
      <w:r w:rsidRPr="007E5EB1">
        <w:rPr>
          <w:rFonts w:ascii="Times New Roman" w:eastAsia="Times New Roman" w:hAnsi="Times New Roman" w:cs="Times New Roman"/>
          <w:b/>
          <w:sz w:val="24"/>
          <w:szCs w:val="24"/>
          <w:lang w:eastAsia="pt-BR"/>
        </w:rPr>
        <w:t>Embargos de Declaração opostos em face de acórdão que, ao aplicar a teoria menor da desconsideração da personalidade jurídica, determinou a inclusão de sócios e administradores no polo passivo da execução.</w:t>
      </w:r>
    </w:p>
    <w:p w14:paraId="1106396E" w14:textId="2E8C7CA6" w:rsidR="00BA2541" w:rsidRPr="00491A12"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II. QUEST</w:t>
      </w:r>
      <w:r w:rsidR="00BA2541" w:rsidRPr="00491A12">
        <w:rPr>
          <w:rFonts w:ascii="Times New Roman" w:eastAsia="Times New Roman" w:hAnsi="Times New Roman" w:cs="Times New Roman"/>
          <w:b/>
          <w:sz w:val="24"/>
          <w:szCs w:val="24"/>
          <w:lang w:eastAsia="pt-BR"/>
        </w:rPr>
        <w:t>ÕES EM DISCUSSÃO</w:t>
      </w:r>
    </w:p>
    <w:p w14:paraId="4E20AA61" w14:textId="22B5B479" w:rsidR="00537320" w:rsidRDefault="0079002C" w:rsidP="00537320">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w:t>
      </w:r>
      <w:r w:rsidR="00537320" w:rsidRPr="00491A12">
        <w:rPr>
          <w:rFonts w:ascii="Times New Roman" w:eastAsia="Times New Roman" w:hAnsi="Times New Roman" w:cs="Times New Roman"/>
          <w:b/>
          <w:sz w:val="24"/>
          <w:szCs w:val="24"/>
          <w:lang w:eastAsia="pt-BR"/>
        </w:rPr>
        <w:t>Hipótese de acometimento do julgado por omiss</w:t>
      </w:r>
      <w:r w:rsidR="00EA20CD">
        <w:rPr>
          <w:rFonts w:ascii="Times New Roman" w:eastAsia="Times New Roman" w:hAnsi="Times New Roman" w:cs="Times New Roman"/>
          <w:b/>
          <w:sz w:val="24"/>
          <w:szCs w:val="24"/>
          <w:lang w:eastAsia="pt-BR"/>
        </w:rPr>
        <w:t>ão</w:t>
      </w:r>
      <w:r>
        <w:rPr>
          <w:rFonts w:ascii="Times New Roman" w:eastAsia="Times New Roman" w:hAnsi="Times New Roman" w:cs="Times New Roman"/>
          <w:b/>
          <w:sz w:val="24"/>
          <w:szCs w:val="24"/>
          <w:lang w:eastAsia="pt-BR"/>
        </w:rPr>
        <w:t>, consistente na ausência de deliberação sobre alegação de impossibilidade de responsabilização de administrador não-sócio pela teoria menor da desconsideração da personalidade jurídica.</w:t>
      </w:r>
    </w:p>
    <w:p w14:paraId="4416928E" w14:textId="2438C419" w:rsidR="0079002C" w:rsidRPr="00491A12" w:rsidRDefault="0079002C" w:rsidP="00537320">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II.II. Pretensão </w:t>
      </w:r>
      <w:r w:rsidR="005B767D">
        <w:rPr>
          <w:rFonts w:ascii="Times New Roman" w:eastAsia="Times New Roman" w:hAnsi="Times New Roman" w:cs="Times New Roman"/>
          <w:b/>
          <w:sz w:val="24"/>
          <w:szCs w:val="24"/>
          <w:lang w:eastAsia="pt-BR"/>
        </w:rPr>
        <w:t>de imposição de multa processual, pelo caráter meramente protelatório dos embargos de declaração.</w:t>
      </w:r>
    </w:p>
    <w:p w14:paraId="50469D27" w14:textId="77777777" w:rsidR="00537320" w:rsidRPr="00491A12" w:rsidRDefault="00537320" w:rsidP="00537320">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III. RAZÕES DE DECIDIR</w:t>
      </w:r>
    </w:p>
    <w:p w14:paraId="746FF7C7" w14:textId="078508EA" w:rsidR="003B5A83" w:rsidRPr="003B5A83" w:rsidRDefault="005B767D" w:rsidP="00537320">
      <w:pPr>
        <w:spacing w:before="240" w:after="240" w:line="360" w:lineRule="auto"/>
        <w:jc w:val="both"/>
        <w:rPr>
          <w:rFonts w:ascii="Times New Roman" w:hAnsi="Times New Roman" w:cs="Times New Roman"/>
          <w:b/>
          <w:sz w:val="24"/>
          <w:szCs w:val="24"/>
          <w:lang w:eastAsia="pt-BR"/>
        </w:rPr>
      </w:pPr>
      <w:proofErr w:type="spellStart"/>
      <w:r w:rsidRPr="003B5A83">
        <w:rPr>
          <w:rFonts w:ascii="Times New Roman" w:hAnsi="Times New Roman" w:cs="Times New Roman"/>
          <w:b/>
          <w:sz w:val="24"/>
          <w:szCs w:val="24"/>
          <w:lang w:eastAsia="pt-BR"/>
        </w:rPr>
        <w:t>III.I</w:t>
      </w:r>
      <w:proofErr w:type="spellEnd"/>
      <w:r w:rsidRPr="003B5A83">
        <w:rPr>
          <w:rFonts w:ascii="Times New Roman" w:hAnsi="Times New Roman" w:cs="Times New Roman"/>
          <w:b/>
          <w:sz w:val="24"/>
          <w:szCs w:val="24"/>
          <w:lang w:eastAsia="pt-BR"/>
        </w:rPr>
        <w:t>.</w:t>
      </w:r>
      <w:r w:rsidR="00136D95" w:rsidRPr="003B5A83">
        <w:rPr>
          <w:rFonts w:ascii="Times New Roman" w:hAnsi="Times New Roman" w:cs="Times New Roman"/>
          <w:b/>
          <w:sz w:val="24"/>
          <w:szCs w:val="24"/>
          <w:lang w:eastAsia="pt-BR"/>
        </w:rPr>
        <w:t xml:space="preserve"> A desconsideração da personalidade jurídica, </w:t>
      </w:r>
      <w:r w:rsidR="003B5A83" w:rsidRPr="003B5A83">
        <w:rPr>
          <w:rFonts w:ascii="Times New Roman" w:hAnsi="Times New Roman" w:cs="Times New Roman"/>
          <w:b/>
          <w:sz w:val="24"/>
          <w:szCs w:val="24"/>
          <w:lang w:eastAsia="pt-BR"/>
        </w:rPr>
        <w:t xml:space="preserve">com </w:t>
      </w:r>
      <w:r w:rsidR="003B5A83" w:rsidRPr="007E5EB1">
        <w:rPr>
          <w:rFonts w:ascii="Times New Roman" w:eastAsia="Times New Roman" w:hAnsi="Times New Roman" w:cs="Times New Roman"/>
          <w:b/>
          <w:sz w:val="24"/>
          <w:szCs w:val="24"/>
          <w:lang w:eastAsia="pt-BR"/>
        </w:rPr>
        <w:t xml:space="preserve">responsabilização patrimonial direta e objetiva, fundada unicamente no obstáculo ao ressarcimento, dirige-se </w:t>
      </w:r>
      <w:r w:rsidR="003B5A83" w:rsidRPr="003B5A83">
        <w:rPr>
          <w:rFonts w:ascii="Times New Roman" w:eastAsia="Times New Roman" w:hAnsi="Times New Roman" w:cs="Times New Roman"/>
          <w:b/>
          <w:sz w:val="24"/>
          <w:szCs w:val="24"/>
          <w:lang w:eastAsia="pt-BR"/>
        </w:rPr>
        <w:t>exclusivamente à figura do sócio</w:t>
      </w:r>
      <w:r w:rsidR="003B5A83" w:rsidRPr="003B5A83">
        <w:rPr>
          <w:rFonts w:ascii="Times New Roman" w:eastAsia="Times New Roman" w:hAnsi="Times New Roman" w:cs="Times New Roman"/>
          <w:b/>
          <w:sz w:val="24"/>
          <w:szCs w:val="24"/>
          <w:lang w:eastAsia="pt-BR"/>
        </w:rPr>
        <w:t>, não possibilitando a implicação do administrador não-sócio.</w:t>
      </w:r>
    </w:p>
    <w:p w14:paraId="3F9A8C79" w14:textId="0D6B61D5" w:rsidR="00754942" w:rsidRPr="003B5A83" w:rsidRDefault="00754942" w:rsidP="00537320">
      <w:pPr>
        <w:spacing w:before="240" w:after="240" w:line="360" w:lineRule="auto"/>
        <w:jc w:val="both"/>
        <w:rPr>
          <w:rFonts w:ascii="Times New Roman" w:hAnsi="Times New Roman" w:cs="Times New Roman"/>
          <w:b/>
          <w:sz w:val="24"/>
          <w:szCs w:val="24"/>
          <w:lang w:eastAsia="pt-BR"/>
        </w:rPr>
      </w:pPr>
      <w:proofErr w:type="spellStart"/>
      <w:r w:rsidRPr="003B5A83">
        <w:rPr>
          <w:rFonts w:ascii="Times New Roman" w:hAnsi="Times New Roman" w:cs="Times New Roman"/>
          <w:b/>
          <w:sz w:val="24"/>
          <w:szCs w:val="24"/>
          <w:lang w:eastAsia="pt-BR"/>
        </w:rPr>
        <w:t>III.</w:t>
      </w:r>
      <w:r w:rsidR="005B767D" w:rsidRPr="003B5A83">
        <w:rPr>
          <w:rFonts w:ascii="Times New Roman" w:hAnsi="Times New Roman" w:cs="Times New Roman"/>
          <w:b/>
          <w:sz w:val="24"/>
          <w:szCs w:val="24"/>
          <w:lang w:eastAsia="pt-BR"/>
        </w:rPr>
        <w:t>II</w:t>
      </w:r>
      <w:proofErr w:type="spellEnd"/>
      <w:r w:rsidR="005B767D" w:rsidRPr="003B5A83">
        <w:rPr>
          <w:rFonts w:ascii="Times New Roman" w:hAnsi="Times New Roman" w:cs="Times New Roman"/>
          <w:b/>
          <w:sz w:val="24"/>
          <w:szCs w:val="24"/>
          <w:lang w:eastAsia="pt-BR"/>
        </w:rPr>
        <w:t>.</w:t>
      </w:r>
      <w:r w:rsidRPr="003B5A83">
        <w:rPr>
          <w:rFonts w:ascii="Times New Roman" w:hAnsi="Times New Roman" w:cs="Times New Roman"/>
          <w:b/>
          <w:sz w:val="24"/>
          <w:szCs w:val="24"/>
          <w:lang w:eastAsia="pt-BR"/>
        </w:rPr>
        <w:t xml:space="preserve"> A simples interposição de embargos de declaração, sem comprovação do elemento subjetivo </w:t>
      </w:r>
      <w:r w:rsidR="00010A60" w:rsidRPr="003B5A83">
        <w:rPr>
          <w:rFonts w:ascii="Times New Roman" w:hAnsi="Times New Roman" w:cs="Times New Roman"/>
          <w:b/>
          <w:sz w:val="24"/>
          <w:szCs w:val="24"/>
          <w:lang w:eastAsia="pt-BR"/>
        </w:rPr>
        <w:t>de protelação</w:t>
      </w:r>
      <w:r w:rsidRPr="003B5A83">
        <w:rPr>
          <w:rFonts w:ascii="Times New Roman" w:hAnsi="Times New Roman" w:cs="Times New Roman"/>
          <w:b/>
          <w:sz w:val="24"/>
          <w:szCs w:val="24"/>
          <w:lang w:eastAsia="pt-BR"/>
        </w:rPr>
        <w:t>, não permite imposição da multa correlata.</w:t>
      </w:r>
    </w:p>
    <w:p w14:paraId="32D3CD04" w14:textId="419422AC" w:rsidR="005E09DC" w:rsidRPr="00491A12"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IV. SOLUÇÃO DO CASO</w:t>
      </w:r>
    </w:p>
    <w:p w14:paraId="026CEA93" w14:textId="0AAEBD71" w:rsidR="005E09DC" w:rsidRPr="00491A12"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 xml:space="preserve">Recurso conhecido e </w:t>
      </w:r>
      <w:r w:rsidR="005B767D">
        <w:rPr>
          <w:rFonts w:ascii="Times New Roman" w:eastAsia="Times New Roman" w:hAnsi="Times New Roman" w:cs="Times New Roman"/>
          <w:b/>
          <w:sz w:val="24"/>
          <w:szCs w:val="24"/>
          <w:lang w:eastAsia="pt-BR"/>
        </w:rPr>
        <w:t>provido</w:t>
      </w:r>
      <w:r w:rsidRPr="00491A12">
        <w:rPr>
          <w:rFonts w:ascii="Times New Roman" w:eastAsia="Times New Roman" w:hAnsi="Times New Roman" w:cs="Times New Roman"/>
          <w:b/>
          <w:sz w:val="24"/>
          <w:szCs w:val="24"/>
          <w:lang w:eastAsia="pt-BR"/>
        </w:rPr>
        <w:t>.</w:t>
      </w:r>
    </w:p>
    <w:p w14:paraId="276FADE5" w14:textId="77777777" w:rsidR="005E09DC" w:rsidRPr="00491A12" w:rsidRDefault="005E09DC" w:rsidP="005E09DC">
      <w:pPr>
        <w:spacing w:before="240" w:after="240" w:line="360" w:lineRule="auto"/>
        <w:jc w:val="both"/>
        <w:rPr>
          <w:rFonts w:ascii="Times New Roman" w:eastAsia="Times New Roman" w:hAnsi="Times New Roman" w:cs="Times New Roman"/>
          <w:b/>
          <w:sz w:val="24"/>
          <w:szCs w:val="24"/>
          <w:lang w:eastAsia="pt-BR"/>
        </w:rPr>
      </w:pPr>
      <w:r w:rsidRPr="00491A12">
        <w:rPr>
          <w:rFonts w:ascii="Times New Roman" w:eastAsia="Times New Roman" w:hAnsi="Times New Roman" w:cs="Times New Roman"/>
          <w:b/>
          <w:sz w:val="24"/>
          <w:szCs w:val="24"/>
          <w:lang w:eastAsia="pt-BR"/>
        </w:rPr>
        <w:t>V. JURISPRUDÊNCIA E LEGISLAÇÃO UTILIZADAS</w:t>
      </w:r>
    </w:p>
    <w:p w14:paraId="7CF4DB06" w14:textId="08622FC1" w:rsidR="005E09DC" w:rsidRPr="00491A12" w:rsidRDefault="005E09DC" w:rsidP="005E09DC">
      <w:pPr>
        <w:spacing w:before="240" w:after="240" w:line="360" w:lineRule="auto"/>
        <w:jc w:val="both"/>
        <w:rPr>
          <w:rFonts w:ascii="Times New Roman" w:hAnsi="Times New Roman" w:cs="Times New Roman"/>
          <w:b/>
          <w:sz w:val="24"/>
          <w:szCs w:val="24"/>
        </w:rPr>
      </w:pPr>
      <w:r w:rsidRPr="00491A12">
        <w:rPr>
          <w:rFonts w:ascii="Times New Roman" w:eastAsia="Times New Roman" w:hAnsi="Times New Roman" w:cs="Times New Roman"/>
          <w:b/>
          <w:sz w:val="24"/>
          <w:szCs w:val="24"/>
          <w:lang w:eastAsia="pt-BR"/>
        </w:rPr>
        <w:t xml:space="preserve">V.I. </w:t>
      </w:r>
      <w:r w:rsidR="00966D45">
        <w:rPr>
          <w:rFonts w:ascii="Times New Roman" w:eastAsia="Times New Roman" w:hAnsi="Times New Roman" w:cs="Times New Roman"/>
          <w:b/>
          <w:sz w:val="24"/>
          <w:szCs w:val="24"/>
          <w:lang w:eastAsia="pt-BR"/>
        </w:rPr>
        <w:t>LEGISLAÇÃO</w:t>
      </w:r>
    </w:p>
    <w:p w14:paraId="58836E90" w14:textId="5288BF1C" w:rsidR="005E09DC" w:rsidRDefault="00E728F6" w:rsidP="005E09D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CC: art. 50.</w:t>
      </w:r>
    </w:p>
    <w:p w14:paraId="3D86DF52" w14:textId="50047127" w:rsidR="00E728F6" w:rsidRDefault="00E728F6" w:rsidP="005E09D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CPC: art. 373, I; art. 1.022, II</w:t>
      </w:r>
      <w:r w:rsidR="00037CAF">
        <w:rPr>
          <w:rFonts w:ascii="Times New Roman" w:eastAsia="Times New Roman" w:hAnsi="Times New Roman" w:cs="Times New Roman"/>
          <w:b/>
          <w:sz w:val="24"/>
          <w:szCs w:val="24"/>
          <w:lang w:eastAsia="pt-BR"/>
        </w:rPr>
        <w:t>; art. 1.026, § 2º.</w:t>
      </w:r>
    </w:p>
    <w:p w14:paraId="23106BAC" w14:textId="15571D99" w:rsidR="00037CAF" w:rsidRDefault="00037CAF" w:rsidP="005E09D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CDC: art. </w:t>
      </w:r>
      <w:r w:rsidR="00B16396">
        <w:rPr>
          <w:rFonts w:ascii="Times New Roman" w:eastAsia="Times New Roman" w:hAnsi="Times New Roman" w:cs="Times New Roman"/>
          <w:b/>
          <w:sz w:val="24"/>
          <w:szCs w:val="24"/>
          <w:lang w:eastAsia="pt-BR"/>
        </w:rPr>
        <w:t>28, § 5º.</w:t>
      </w:r>
    </w:p>
    <w:p w14:paraId="602C10E6" w14:textId="0E1951C8" w:rsidR="00EA20CD" w:rsidRDefault="00EA20CD" w:rsidP="00EA20CD">
      <w:pPr>
        <w:spacing w:before="240" w:after="240" w:line="360" w:lineRule="auto"/>
        <w:jc w:val="both"/>
        <w:rPr>
          <w:rFonts w:ascii="Times New Roman" w:eastAsia="Times New Roman" w:hAnsi="Times New Roman" w:cs="Times New Roman"/>
          <w:b/>
          <w:sz w:val="24"/>
          <w:szCs w:val="24"/>
          <w:lang w:eastAsia="pt-BR"/>
        </w:rPr>
      </w:pPr>
      <w:proofErr w:type="spellStart"/>
      <w:r w:rsidRPr="00491A12">
        <w:rPr>
          <w:rFonts w:ascii="Times New Roman" w:eastAsia="Times New Roman" w:hAnsi="Times New Roman" w:cs="Times New Roman"/>
          <w:b/>
          <w:sz w:val="24"/>
          <w:szCs w:val="24"/>
          <w:lang w:eastAsia="pt-BR"/>
        </w:rPr>
        <w:t>V.</w:t>
      </w:r>
      <w:r>
        <w:rPr>
          <w:rFonts w:ascii="Times New Roman" w:eastAsia="Times New Roman" w:hAnsi="Times New Roman" w:cs="Times New Roman"/>
          <w:b/>
          <w:sz w:val="24"/>
          <w:szCs w:val="24"/>
          <w:lang w:eastAsia="pt-BR"/>
        </w:rPr>
        <w:t>I</w:t>
      </w:r>
      <w:r w:rsidRPr="00491A12">
        <w:rPr>
          <w:rFonts w:ascii="Times New Roman" w:eastAsia="Times New Roman" w:hAnsi="Times New Roman" w:cs="Times New Roman"/>
          <w:b/>
          <w:sz w:val="24"/>
          <w:szCs w:val="24"/>
          <w:lang w:eastAsia="pt-BR"/>
        </w:rPr>
        <w:t>I</w:t>
      </w:r>
      <w:proofErr w:type="spellEnd"/>
      <w:r w:rsidRPr="00491A12">
        <w:rPr>
          <w:rFonts w:ascii="Times New Roman" w:eastAsia="Times New Roman" w:hAnsi="Times New Roman" w:cs="Times New Roman"/>
          <w:b/>
          <w:sz w:val="24"/>
          <w:szCs w:val="24"/>
          <w:lang w:eastAsia="pt-BR"/>
        </w:rPr>
        <w:t xml:space="preserve">. </w:t>
      </w:r>
      <w:r w:rsidR="00966D45">
        <w:rPr>
          <w:rFonts w:ascii="Times New Roman" w:eastAsia="Times New Roman" w:hAnsi="Times New Roman" w:cs="Times New Roman"/>
          <w:b/>
          <w:sz w:val="24"/>
          <w:szCs w:val="24"/>
          <w:lang w:eastAsia="pt-BR"/>
        </w:rPr>
        <w:t>JURISPRUDÊNCIA</w:t>
      </w:r>
    </w:p>
    <w:p w14:paraId="6511D949" w14:textId="7C631EC0" w:rsidR="00966D45" w:rsidRPr="00966D45" w:rsidRDefault="00966D45" w:rsidP="00966D45">
      <w:pPr>
        <w:spacing w:before="240" w:after="240" w:line="360" w:lineRule="auto"/>
        <w:jc w:val="both"/>
        <w:rPr>
          <w:rFonts w:ascii="Times New Roman" w:eastAsia="Times New Roman" w:hAnsi="Times New Roman" w:cs="Times New Roman"/>
          <w:b/>
          <w:sz w:val="24"/>
          <w:szCs w:val="24"/>
          <w:lang w:eastAsia="pt-BR"/>
        </w:rPr>
      </w:pPr>
      <w:r w:rsidRPr="00966D45">
        <w:rPr>
          <w:rFonts w:ascii="Times New Roman" w:eastAsia="Times New Roman" w:hAnsi="Times New Roman" w:cs="Times New Roman"/>
          <w:b/>
          <w:sz w:val="24"/>
          <w:szCs w:val="24"/>
          <w:lang w:eastAsia="pt-BR"/>
        </w:rPr>
        <w:t>STJ. Terceira Turma. Relator: Ministro Moura Ribeiro. REsp n. 1.658.648/SP. Data de julgamento: 7-11-2017. Data de publicação: 20-11-2017</w:t>
      </w:r>
      <w:r>
        <w:rPr>
          <w:rFonts w:ascii="Times New Roman" w:eastAsia="Times New Roman" w:hAnsi="Times New Roman" w:cs="Times New Roman"/>
          <w:b/>
          <w:sz w:val="24"/>
          <w:szCs w:val="24"/>
          <w:lang w:eastAsia="pt-BR"/>
        </w:rPr>
        <w:t>;</w:t>
      </w:r>
    </w:p>
    <w:p w14:paraId="78C9A6D9" w14:textId="019F9554" w:rsidR="00966D45" w:rsidRPr="00966D45" w:rsidRDefault="00966D45" w:rsidP="00966D45">
      <w:pPr>
        <w:spacing w:before="240" w:after="240" w:line="360" w:lineRule="auto"/>
        <w:jc w:val="both"/>
        <w:rPr>
          <w:rFonts w:ascii="Times New Roman" w:eastAsia="Times New Roman" w:hAnsi="Times New Roman" w:cs="Times New Roman"/>
          <w:b/>
          <w:sz w:val="24"/>
          <w:szCs w:val="24"/>
          <w:lang w:eastAsia="pt-BR"/>
        </w:rPr>
      </w:pPr>
      <w:proofErr w:type="spellStart"/>
      <w:r w:rsidRPr="00966D45">
        <w:rPr>
          <w:rFonts w:ascii="Times New Roman" w:eastAsia="Times New Roman" w:hAnsi="Times New Roman" w:cs="Times New Roman"/>
          <w:b/>
          <w:iCs/>
          <w:sz w:val="24"/>
          <w:szCs w:val="24"/>
          <w:lang w:eastAsia="pt-BR"/>
        </w:rPr>
        <w:t>TJPR</w:t>
      </w:r>
      <w:proofErr w:type="spellEnd"/>
      <w:r w:rsidRPr="00966D45">
        <w:rPr>
          <w:rFonts w:ascii="Times New Roman" w:eastAsia="Times New Roman" w:hAnsi="Times New Roman" w:cs="Times New Roman"/>
          <w:b/>
          <w:iCs/>
          <w:sz w:val="24"/>
          <w:szCs w:val="24"/>
          <w:lang w:eastAsia="pt-BR"/>
        </w:rPr>
        <w:t>. 7ª Câmara Cível. Relator: Desembargador José Augusto Gomes Aniceto. 0051946-24.2022.8.16.0000. Pinhais. Data de julgamento: 22-11-2022</w:t>
      </w:r>
      <w:r>
        <w:rPr>
          <w:rFonts w:ascii="Times New Roman" w:eastAsia="Times New Roman" w:hAnsi="Times New Roman" w:cs="Times New Roman"/>
          <w:b/>
          <w:iCs/>
          <w:sz w:val="24"/>
          <w:szCs w:val="24"/>
          <w:lang w:eastAsia="pt-BR"/>
        </w:rPr>
        <w:t>;</w:t>
      </w:r>
    </w:p>
    <w:p w14:paraId="6B12D129" w14:textId="62306871" w:rsidR="00966D45" w:rsidRPr="00966D45" w:rsidRDefault="00966D45" w:rsidP="00966D45">
      <w:pPr>
        <w:spacing w:before="240" w:after="240" w:line="360" w:lineRule="auto"/>
        <w:jc w:val="both"/>
        <w:rPr>
          <w:rFonts w:ascii="Times New Roman" w:eastAsia="Times New Roman" w:hAnsi="Times New Roman" w:cs="Times New Roman"/>
          <w:b/>
          <w:sz w:val="24"/>
          <w:szCs w:val="24"/>
          <w:lang w:eastAsia="pt-BR"/>
        </w:rPr>
      </w:pPr>
      <w:r w:rsidRPr="00966D45">
        <w:rPr>
          <w:rFonts w:ascii="Times New Roman" w:eastAsia="Times New Roman" w:hAnsi="Times New Roman" w:cs="Times New Roman"/>
          <w:b/>
          <w:iCs/>
          <w:sz w:val="24"/>
          <w:szCs w:val="24"/>
          <w:lang w:eastAsia="pt-BR"/>
        </w:rPr>
        <w:t>STJ. Terceira Turma. Relatora: Ministra Nancy Andrighi. REsp n. 1.423.942/SP. Data de julgamento: 26-9-2017. Data de publicação: 29-9-2017</w:t>
      </w:r>
      <w:r>
        <w:rPr>
          <w:rFonts w:ascii="Times New Roman" w:eastAsia="Times New Roman" w:hAnsi="Times New Roman" w:cs="Times New Roman"/>
          <w:b/>
          <w:iCs/>
          <w:sz w:val="24"/>
          <w:szCs w:val="24"/>
          <w:lang w:eastAsia="pt-BR"/>
        </w:rPr>
        <w:t>.</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241249C2" w14:textId="77777777" w:rsidR="00FB27C5" w:rsidRDefault="00D74F23" w:rsidP="00FB27C5">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385AC239" w14:textId="70D252B8" w:rsidR="00927572" w:rsidRDefault="003F76F3" w:rsidP="00494FF8">
      <w:pPr>
        <w:tabs>
          <w:tab w:val="left" w:pos="6955"/>
        </w:tabs>
        <w:spacing w:before="240" w:after="240" w:line="360" w:lineRule="auto"/>
        <w:ind w:firstLine="709"/>
        <w:jc w:val="both"/>
        <w:rPr>
          <w:rFonts w:ascii="Times New Roman" w:eastAsia="Times New Roman" w:hAnsi="Times New Roman" w:cs="Times New Roman"/>
          <w:bCs/>
          <w:sz w:val="24"/>
          <w:szCs w:val="24"/>
          <w:lang w:eastAsia="pt-BR"/>
        </w:rPr>
      </w:pPr>
      <w:r w:rsidRPr="003F76F3">
        <w:rPr>
          <w:rFonts w:ascii="Times New Roman" w:eastAsia="Times New Roman" w:hAnsi="Times New Roman" w:cs="Times New Roman"/>
          <w:bCs/>
          <w:sz w:val="24"/>
          <w:szCs w:val="24"/>
          <w:lang w:eastAsia="pt-BR"/>
        </w:rPr>
        <w:t>Cuida</w:t>
      </w:r>
      <w:r>
        <w:rPr>
          <w:rFonts w:ascii="Times New Roman" w:eastAsia="Times New Roman" w:hAnsi="Times New Roman" w:cs="Times New Roman"/>
          <w:bCs/>
          <w:sz w:val="24"/>
          <w:szCs w:val="24"/>
          <w:lang w:eastAsia="pt-BR"/>
        </w:rPr>
        <w:t xml:space="preserve">-se de embargos de declaração </w:t>
      </w:r>
      <w:r w:rsidR="003E4448">
        <w:rPr>
          <w:rFonts w:ascii="Times New Roman" w:eastAsia="Times New Roman" w:hAnsi="Times New Roman" w:cs="Times New Roman"/>
          <w:bCs/>
          <w:sz w:val="24"/>
          <w:szCs w:val="24"/>
          <w:lang w:eastAsia="pt-BR"/>
        </w:rPr>
        <w:t>interpostos</w:t>
      </w:r>
      <w:r w:rsidR="00737EAA">
        <w:rPr>
          <w:rFonts w:ascii="Times New Roman" w:eastAsia="Times New Roman" w:hAnsi="Times New Roman" w:cs="Times New Roman"/>
          <w:bCs/>
          <w:sz w:val="24"/>
          <w:szCs w:val="24"/>
          <w:lang w:eastAsia="pt-BR"/>
        </w:rPr>
        <w:t xml:space="preserve"> </w:t>
      </w:r>
      <w:r w:rsidR="00C15E8B">
        <w:rPr>
          <w:rFonts w:ascii="Times New Roman" w:eastAsia="Times New Roman" w:hAnsi="Times New Roman" w:cs="Times New Roman"/>
          <w:bCs/>
          <w:sz w:val="24"/>
          <w:szCs w:val="24"/>
          <w:lang w:eastAsia="pt-BR"/>
        </w:rPr>
        <w:t>por</w:t>
      </w:r>
      <w:r w:rsidR="00927572">
        <w:rPr>
          <w:rFonts w:ascii="Times New Roman" w:eastAsia="Times New Roman" w:hAnsi="Times New Roman" w:cs="Times New Roman"/>
          <w:bCs/>
          <w:sz w:val="24"/>
          <w:szCs w:val="24"/>
          <w:lang w:eastAsia="pt-BR"/>
        </w:rPr>
        <w:t xml:space="preserve"> Fernando Miziara de Mattos Cunha, João Paulo Franco Rossi </w:t>
      </w:r>
      <w:proofErr w:type="spellStart"/>
      <w:r w:rsidR="00927572">
        <w:rPr>
          <w:rFonts w:ascii="Times New Roman" w:eastAsia="Times New Roman" w:hAnsi="Times New Roman" w:cs="Times New Roman"/>
          <w:bCs/>
          <w:sz w:val="24"/>
          <w:szCs w:val="24"/>
          <w:lang w:eastAsia="pt-BR"/>
        </w:rPr>
        <w:t>Cuppoloni</w:t>
      </w:r>
      <w:proofErr w:type="spellEnd"/>
      <w:r w:rsidR="00927572">
        <w:rPr>
          <w:rFonts w:ascii="Times New Roman" w:eastAsia="Times New Roman" w:hAnsi="Times New Roman" w:cs="Times New Roman"/>
          <w:bCs/>
          <w:sz w:val="24"/>
          <w:szCs w:val="24"/>
          <w:lang w:eastAsia="pt-BR"/>
        </w:rPr>
        <w:t xml:space="preserve"> e Renata Rossi </w:t>
      </w:r>
      <w:proofErr w:type="spellStart"/>
      <w:r w:rsidR="00927572">
        <w:rPr>
          <w:rFonts w:ascii="Times New Roman" w:eastAsia="Times New Roman" w:hAnsi="Times New Roman" w:cs="Times New Roman"/>
          <w:bCs/>
          <w:sz w:val="24"/>
          <w:szCs w:val="24"/>
          <w:lang w:eastAsia="pt-BR"/>
        </w:rPr>
        <w:t>Cuppoloni</w:t>
      </w:r>
      <w:proofErr w:type="spellEnd"/>
      <w:r w:rsidR="00927572">
        <w:rPr>
          <w:rFonts w:ascii="Times New Roman" w:eastAsia="Times New Roman" w:hAnsi="Times New Roman" w:cs="Times New Roman"/>
          <w:bCs/>
          <w:sz w:val="24"/>
          <w:szCs w:val="24"/>
          <w:lang w:eastAsia="pt-BR"/>
        </w:rPr>
        <w:t xml:space="preserve"> em face de Eliane Machado </w:t>
      </w:r>
      <w:proofErr w:type="spellStart"/>
      <w:r w:rsidR="00927572">
        <w:rPr>
          <w:rFonts w:ascii="Times New Roman" w:eastAsia="Times New Roman" w:hAnsi="Times New Roman" w:cs="Times New Roman"/>
          <w:bCs/>
          <w:sz w:val="24"/>
          <w:szCs w:val="24"/>
          <w:lang w:eastAsia="pt-BR"/>
        </w:rPr>
        <w:t>Recart</w:t>
      </w:r>
      <w:proofErr w:type="spellEnd"/>
      <w:r w:rsidR="00927572">
        <w:rPr>
          <w:rFonts w:ascii="Times New Roman" w:eastAsia="Times New Roman" w:hAnsi="Times New Roman" w:cs="Times New Roman"/>
          <w:bCs/>
          <w:sz w:val="24"/>
          <w:szCs w:val="24"/>
          <w:lang w:eastAsia="pt-BR"/>
        </w:rPr>
        <w:t xml:space="preserve"> e Thiago Hummel Moreira, tendo como objeto </w:t>
      </w:r>
      <w:r w:rsidR="00666666">
        <w:rPr>
          <w:rFonts w:ascii="Times New Roman" w:eastAsia="Times New Roman" w:hAnsi="Times New Roman" w:cs="Times New Roman"/>
          <w:bCs/>
          <w:sz w:val="24"/>
          <w:szCs w:val="24"/>
          <w:lang w:eastAsia="pt-BR"/>
        </w:rPr>
        <w:t>o acórdão proferido pela 19ª Câmara Cível do Tribunal de Justiça do Estado do Paraná</w:t>
      </w:r>
      <w:r w:rsidR="00A2792B">
        <w:rPr>
          <w:rFonts w:ascii="Times New Roman" w:eastAsia="Times New Roman" w:hAnsi="Times New Roman" w:cs="Times New Roman"/>
          <w:bCs/>
          <w:sz w:val="24"/>
          <w:szCs w:val="24"/>
          <w:lang w:eastAsia="pt-BR"/>
        </w:rPr>
        <w:t xml:space="preserve">, que deu provimento a agravo de instrumento </w:t>
      </w:r>
      <w:r w:rsidR="00C028AD">
        <w:rPr>
          <w:rFonts w:ascii="Times New Roman" w:eastAsia="Times New Roman" w:hAnsi="Times New Roman" w:cs="Times New Roman"/>
          <w:bCs/>
          <w:sz w:val="24"/>
          <w:szCs w:val="24"/>
          <w:lang w:eastAsia="pt-BR"/>
        </w:rPr>
        <w:t>para julgar procedente pedido de desconsideração da personalidade jurídica e autorizar a responsabilização dos sócios e administradores da devedora principal, com base na teoria menor, prevista no artigo 28, § 5º, do Código de Processo Civil (evento 30.1 – autos de origem).</w:t>
      </w:r>
    </w:p>
    <w:p w14:paraId="04DACEAF" w14:textId="0FCD3D37" w:rsidR="00C028AD" w:rsidRDefault="00DB7980" w:rsidP="00494FF8">
      <w:pPr>
        <w:tabs>
          <w:tab w:val="left" w:pos="6955"/>
        </w:tabs>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Sustentam os embargantes, em síntese, o acometimento do julgado por omissão consistente na ausência deliberação sobre o argumento de que a teoria menor não </w:t>
      </w:r>
      <w:r w:rsidR="004F4AFE">
        <w:rPr>
          <w:rFonts w:ascii="Times New Roman" w:eastAsia="Times New Roman" w:hAnsi="Times New Roman" w:cs="Times New Roman"/>
          <w:bCs/>
          <w:sz w:val="24"/>
          <w:szCs w:val="24"/>
          <w:lang w:eastAsia="pt-BR"/>
        </w:rPr>
        <w:t>autoriza a responsabilização dos administradores alheios ao quadro societário (evento 1.1).</w:t>
      </w:r>
    </w:p>
    <w:p w14:paraId="76578EB4" w14:textId="2931839E" w:rsidR="00D363DD" w:rsidRDefault="004F4AFE" w:rsidP="00D363DD">
      <w:pPr>
        <w:tabs>
          <w:tab w:val="left" w:pos="6955"/>
        </w:tabs>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Nas contrarrazões, </w:t>
      </w:r>
      <w:r w:rsidR="00D363DD">
        <w:rPr>
          <w:rFonts w:ascii="Times New Roman" w:eastAsia="Times New Roman" w:hAnsi="Times New Roman" w:cs="Times New Roman"/>
          <w:bCs/>
          <w:sz w:val="24"/>
          <w:szCs w:val="24"/>
          <w:lang w:eastAsia="pt-BR"/>
        </w:rPr>
        <w:t xml:space="preserve">a parte embargada se manifestou pelo não conhecimento e, subsidiariamente, pelo desprovimento do recurso, com imposição de multa </w:t>
      </w:r>
      <w:r w:rsidR="00DF21AA">
        <w:rPr>
          <w:rFonts w:ascii="Times New Roman" w:eastAsia="Times New Roman" w:hAnsi="Times New Roman" w:cs="Times New Roman"/>
          <w:bCs/>
          <w:sz w:val="24"/>
          <w:szCs w:val="24"/>
          <w:lang w:eastAsia="pt-BR"/>
        </w:rPr>
        <w:t>(</w:t>
      </w:r>
      <w:r w:rsidR="00D363DD">
        <w:rPr>
          <w:rFonts w:ascii="Times New Roman" w:eastAsia="Times New Roman" w:hAnsi="Times New Roman" w:cs="Times New Roman"/>
          <w:bCs/>
          <w:sz w:val="24"/>
          <w:szCs w:val="24"/>
          <w:lang w:eastAsia="pt-BR"/>
        </w:rPr>
        <w:t>evento 10.1).</w:t>
      </w:r>
    </w:p>
    <w:p w14:paraId="2CF65DB8" w14:textId="26F8199C" w:rsidR="00E747A8" w:rsidRDefault="00E747A8" w:rsidP="00B72930">
      <w:pPr>
        <w:tabs>
          <w:tab w:val="left" w:pos="6955"/>
        </w:tabs>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o necessário relato.</w:t>
      </w:r>
    </w:p>
    <w:p w14:paraId="40367DF6" w14:textId="77777777" w:rsidR="003F76F3" w:rsidRDefault="003F76F3" w:rsidP="00FB27C5">
      <w:pPr>
        <w:spacing w:before="240" w:after="240" w:line="360" w:lineRule="auto"/>
        <w:ind w:firstLine="709"/>
        <w:jc w:val="both"/>
        <w:rPr>
          <w:rFonts w:ascii="Times New Roman" w:eastAsia="Times New Roman" w:hAnsi="Times New Roman" w:cs="Times New Roman"/>
          <w:b/>
          <w:sz w:val="24"/>
          <w:szCs w:val="24"/>
          <w:lang w:eastAsia="pt-BR"/>
        </w:rPr>
      </w:pPr>
    </w:p>
    <w:p w14:paraId="552CAA17" w14:textId="77777777" w:rsidR="003F76F3" w:rsidRDefault="00FB27C5" w:rsidP="003F76F3">
      <w:pPr>
        <w:spacing w:before="240" w:after="240" w:line="360" w:lineRule="auto"/>
        <w:ind w:firstLine="709"/>
        <w:jc w:val="both"/>
        <w:rPr>
          <w:rFonts w:ascii="Times New Roman" w:eastAsia="Times New Roman" w:hAnsi="Times New Roman" w:cs="Times New Roman"/>
          <w:b/>
          <w:sz w:val="24"/>
          <w:szCs w:val="24"/>
          <w:lang w:eastAsia="pt-BR"/>
        </w:rPr>
      </w:pPr>
      <w:r w:rsidRPr="00260160">
        <w:rPr>
          <w:rFonts w:ascii="Times New Roman" w:hAnsi="Times New Roman" w:cs="Times New Roman"/>
          <w:b/>
          <w:sz w:val="24"/>
          <w:szCs w:val="24"/>
        </w:rPr>
        <w:t>II – FUNDAMENTAÇÃO</w:t>
      </w:r>
    </w:p>
    <w:p w14:paraId="3C68F9C2" w14:textId="77777777" w:rsidR="00E71385" w:rsidRPr="00C727D6"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22426A3C" w14:textId="13316C83"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w:t>
      </w:r>
      <w:r w:rsidR="00210873">
        <w:rPr>
          <w:rFonts w:ascii="Times New Roman" w:eastAsia="Times New Roman" w:hAnsi="Times New Roman" w:cs="Times New Roman"/>
          <w:sz w:val="24"/>
          <w:szCs w:val="24"/>
          <w:lang w:eastAsia="pt-BR"/>
        </w:rPr>
        <w:t xml:space="preserve"> </w:t>
      </w:r>
      <w:r w:rsidR="00D42387">
        <w:rPr>
          <w:rFonts w:ascii="Times New Roman" w:eastAsia="Times New Roman" w:hAnsi="Times New Roman" w:cs="Times New Roman"/>
          <w:sz w:val="24"/>
          <w:szCs w:val="24"/>
          <w:lang w:eastAsia="pt-BR"/>
        </w:rPr>
        <w:t>o</w:t>
      </w:r>
      <w:r>
        <w:rPr>
          <w:rFonts w:ascii="Times New Roman" w:eastAsia="Times New Roman" w:hAnsi="Times New Roman" w:cs="Times New Roman"/>
          <w:sz w:val="24"/>
          <w:szCs w:val="24"/>
          <w:lang w:eastAsia="pt-BR"/>
        </w:rPr>
        <w:t xml:space="preserve">s pressupostos de admissibilidade recursal, conhecem-se dos embargos de declaração </w:t>
      </w:r>
      <w:r w:rsidR="003835C9">
        <w:rPr>
          <w:rFonts w:ascii="Times New Roman" w:eastAsia="Times New Roman" w:hAnsi="Times New Roman" w:cs="Times New Roman"/>
          <w:sz w:val="24"/>
          <w:szCs w:val="24"/>
          <w:lang w:eastAsia="pt-BR"/>
        </w:rPr>
        <w:t>inter</w:t>
      </w:r>
      <w:r>
        <w:rPr>
          <w:rFonts w:ascii="Times New Roman" w:eastAsia="Times New Roman" w:hAnsi="Times New Roman" w:cs="Times New Roman"/>
          <w:sz w:val="24"/>
          <w:szCs w:val="24"/>
          <w:lang w:eastAsia="pt-BR"/>
        </w:rPr>
        <w:t>postos.</w:t>
      </w:r>
    </w:p>
    <w:p w14:paraId="69E67799" w14:textId="77777777"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p>
    <w:p w14:paraId="279D4E7C" w14:textId="298B8E7F"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II.II – DA OMISSÃO</w:t>
      </w:r>
    </w:p>
    <w:p w14:paraId="58D8C303" w14:textId="77777777"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Assiste razão aos embargantes quanto à existência da omissão apontada.</w:t>
      </w:r>
    </w:p>
    <w:p w14:paraId="0EBE2D60" w14:textId="20B94F97"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Da análise das contrarrazões ao agravo de instrumento, verifica-se que os ora embargantes suscitaram a tese de que, na condição de administradores não sócios, não poderiam ser responsabilizados com base na teoria menor da desconsideração da personalidade jurídica</w:t>
      </w:r>
      <w:r w:rsidR="00012871">
        <w:rPr>
          <w:rFonts w:ascii="Times New Roman" w:eastAsia="Times New Roman" w:hAnsi="Times New Roman" w:cs="Times New Roman"/>
          <w:sz w:val="24"/>
          <w:szCs w:val="24"/>
          <w:lang w:eastAsia="pt-BR"/>
        </w:rPr>
        <w:t xml:space="preserve"> </w:t>
      </w:r>
      <w:r w:rsidR="00480812">
        <w:rPr>
          <w:rFonts w:ascii="Times New Roman" w:eastAsia="Times New Roman" w:hAnsi="Times New Roman" w:cs="Times New Roman"/>
          <w:sz w:val="24"/>
          <w:szCs w:val="24"/>
          <w:lang w:eastAsia="pt-BR"/>
        </w:rPr>
        <w:t>(evento 16.1 – AI)</w:t>
      </w:r>
      <w:r w:rsidR="00480812">
        <w:rPr>
          <w:rFonts w:ascii="Times New Roman" w:eastAsia="Times New Roman" w:hAnsi="Times New Roman" w:cs="Times New Roman"/>
          <w:sz w:val="24"/>
          <w:szCs w:val="24"/>
          <w:lang w:eastAsia="pt-BR"/>
        </w:rPr>
        <w:t>.</w:t>
      </w:r>
    </w:p>
    <w:p w14:paraId="1C191752" w14:textId="2F3169E4" w:rsidR="00773174" w:rsidRDefault="00406983" w:rsidP="007E5EB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Embora concentrada </w:t>
      </w:r>
      <w:r w:rsidR="00773174">
        <w:rPr>
          <w:rFonts w:ascii="Times New Roman" w:eastAsia="Times New Roman" w:hAnsi="Times New Roman" w:cs="Times New Roman"/>
          <w:sz w:val="24"/>
          <w:szCs w:val="24"/>
          <w:lang w:eastAsia="pt-BR"/>
        </w:rPr>
        <w:t>na perspectiva da teoria menor, prevista no artigo 28</w:t>
      </w:r>
      <w:r w:rsidR="004030CB">
        <w:rPr>
          <w:rFonts w:ascii="Times New Roman" w:eastAsia="Times New Roman" w:hAnsi="Times New Roman" w:cs="Times New Roman"/>
          <w:sz w:val="24"/>
          <w:szCs w:val="24"/>
          <w:lang w:eastAsia="pt-BR"/>
        </w:rPr>
        <w:t xml:space="preserve">, § 5º, do Código de </w:t>
      </w:r>
      <w:r w:rsidR="00707836">
        <w:rPr>
          <w:rFonts w:ascii="Times New Roman" w:eastAsia="Times New Roman" w:hAnsi="Times New Roman" w:cs="Times New Roman"/>
          <w:sz w:val="24"/>
          <w:szCs w:val="24"/>
          <w:lang w:eastAsia="pt-BR"/>
        </w:rPr>
        <w:t>Defesa do Consumidor</w:t>
      </w:r>
      <w:r w:rsidR="004030CB">
        <w:rPr>
          <w:rFonts w:ascii="Times New Roman" w:eastAsia="Times New Roman" w:hAnsi="Times New Roman" w:cs="Times New Roman"/>
          <w:sz w:val="24"/>
          <w:szCs w:val="24"/>
          <w:lang w:eastAsia="pt-BR"/>
        </w:rPr>
        <w:t xml:space="preserve">, a fundamentação do acórdão impugnado não enfrentou indigita alegação, sobre a distinção entre as responsabilidades do </w:t>
      </w:r>
      <w:r w:rsidR="0073594B">
        <w:rPr>
          <w:rFonts w:ascii="Times New Roman" w:eastAsia="Times New Roman" w:hAnsi="Times New Roman" w:cs="Times New Roman"/>
          <w:sz w:val="24"/>
          <w:szCs w:val="24"/>
          <w:lang w:eastAsia="pt-BR"/>
        </w:rPr>
        <w:t xml:space="preserve">sócio e do administrador não sócio, ponto de potencial influência no deslinde do julgamento (evento </w:t>
      </w:r>
      <w:r w:rsidR="00A813AA">
        <w:rPr>
          <w:rFonts w:ascii="Times New Roman" w:eastAsia="Times New Roman" w:hAnsi="Times New Roman" w:cs="Times New Roman"/>
          <w:sz w:val="24"/>
          <w:szCs w:val="24"/>
          <w:lang w:eastAsia="pt-BR"/>
        </w:rPr>
        <w:t>30.1 – AI).</w:t>
      </w:r>
    </w:p>
    <w:p w14:paraId="0420A173" w14:textId="1F283F04" w:rsidR="001C261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Caracterizado o vício de omissão, previsto no art</w:t>
      </w:r>
      <w:r w:rsidR="001C2611">
        <w:rPr>
          <w:rFonts w:ascii="Times New Roman" w:eastAsia="Times New Roman" w:hAnsi="Times New Roman" w:cs="Times New Roman"/>
          <w:sz w:val="24"/>
          <w:szCs w:val="24"/>
          <w:lang w:eastAsia="pt-BR"/>
        </w:rPr>
        <w:t xml:space="preserve">igo </w:t>
      </w:r>
      <w:r w:rsidRPr="007E5EB1">
        <w:rPr>
          <w:rFonts w:ascii="Times New Roman" w:eastAsia="Times New Roman" w:hAnsi="Times New Roman" w:cs="Times New Roman"/>
          <w:sz w:val="24"/>
          <w:szCs w:val="24"/>
          <w:lang w:eastAsia="pt-BR"/>
        </w:rPr>
        <w:t xml:space="preserve">1.022, </w:t>
      </w:r>
      <w:r w:rsidR="001C2611">
        <w:rPr>
          <w:rFonts w:ascii="Times New Roman" w:eastAsia="Times New Roman" w:hAnsi="Times New Roman" w:cs="Times New Roman"/>
          <w:sz w:val="24"/>
          <w:szCs w:val="24"/>
          <w:lang w:eastAsia="pt-BR"/>
        </w:rPr>
        <w:t xml:space="preserve">inciso </w:t>
      </w:r>
      <w:r w:rsidRPr="007E5EB1">
        <w:rPr>
          <w:rFonts w:ascii="Times New Roman" w:eastAsia="Times New Roman" w:hAnsi="Times New Roman" w:cs="Times New Roman"/>
          <w:sz w:val="24"/>
          <w:szCs w:val="24"/>
          <w:lang w:eastAsia="pt-BR"/>
        </w:rPr>
        <w:t>II, do C</w:t>
      </w:r>
      <w:r w:rsidR="001C2611">
        <w:rPr>
          <w:rFonts w:ascii="Times New Roman" w:eastAsia="Times New Roman" w:hAnsi="Times New Roman" w:cs="Times New Roman"/>
          <w:sz w:val="24"/>
          <w:szCs w:val="24"/>
          <w:lang w:eastAsia="pt-BR"/>
        </w:rPr>
        <w:t>ódigo de Processo Civil, impõe-se a respectiva declaração.</w:t>
      </w:r>
    </w:p>
    <w:p w14:paraId="2653F1D9" w14:textId="77777777" w:rsidR="001C2611" w:rsidRDefault="001C2611" w:rsidP="007E5EB1">
      <w:pPr>
        <w:spacing w:before="240" w:after="240" w:line="360" w:lineRule="auto"/>
        <w:ind w:firstLine="709"/>
        <w:jc w:val="both"/>
        <w:rPr>
          <w:rFonts w:ascii="Times New Roman" w:eastAsia="Times New Roman" w:hAnsi="Times New Roman" w:cs="Times New Roman"/>
          <w:sz w:val="24"/>
          <w:szCs w:val="24"/>
          <w:lang w:eastAsia="pt-BR"/>
        </w:rPr>
      </w:pPr>
    </w:p>
    <w:p w14:paraId="10AF58CD" w14:textId="22EE2D7E"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proofErr w:type="spellStart"/>
      <w:r w:rsidRPr="007E5EB1">
        <w:rPr>
          <w:rFonts w:ascii="Times New Roman" w:eastAsia="Times New Roman" w:hAnsi="Times New Roman" w:cs="Times New Roman"/>
          <w:sz w:val="24"/>
          <w:szCs w:val="24"/>
          <w:lang w:eastAsia="pt-BR"/>
        </w:rPr>
        <w:t>II.III</w:t>
      </w:r>
      <w:proofErr w:type="spellEnd"/>
      <w:r w:rsidRPr="007E5EB1">
        <w:rPr>
          <w:rFonts w:ascii="Times New Roman" w:eastAsia="Times New Roman" w:hAnsi="Times New Roman" w:cs="Times New Roman"/>
          <w:sz w:val="24"/>
          <w:szCs w:val="24"/>
          <w:lang w:eastAsia="pt-BR"/>
        </w:rPr>
        <w:t xml:space="preserve"> – DA RESPONSABILIDADE DO ADMINISTRADOR NÃO SÓCIO</w:t>
      </w:r>
    </w:p>
    <w:p w14:paraId="21DEEE8E" w14:textId="6C2462A0"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 xml:space="preserve">A controvérsia </w:t>
      </w:r>
      <w:r w:rsidR="005A35C1">
        <w:rPr>
          <w:rFonts w:ascii="Times New Roman" w:eastAsia="Times New Roman" w:hAnsi="Times New Roman" w:cs="Times New Roman"/>
          <w:sz w:val="24"/>
          <w:szCs w:val="24"/>
          <w:lang w:eastAsia="pt-BR"/>
        </w:rPr>
        <w:t>recursal consiste</w:t>
      </w:r>
      <w:r w:rsidRPr="007E5EB1">
        <w:rPr>
          <w:rFonts w:ascii="Times New Roman" w:eastAsia="Times New Roman" w:hAnsi="Times New Roman" w:cs="Times New Roman"/>
          <w:sz w:val="24"/>
          <w:szCs w:val="24"/>
          <w:lang w:eastAsia="pt-BR"/>
        </w:rPr>
        <w:t xml:space="preserve"> em definir se a teoria menor da desconsideração da personalidade jurídica, positivada no art</w:t>
      </w:r>
      <w:r w:rsidR="005A35C1">
        <w:rPr>
          <w:rFonts w:ascii="Times New Roman" w:eastAsia="Times New Roman" w:hAnsi="Times New Roman" w:cs="Times New Roman"/>
          <w:sz w:val="24"/>
          <w:szCs w:val="24"/>
          <w:lang w:eastAsia="pt-BR"/>
        </w:rPr>
        <w:t>igo</w:t>
      </w:r>
      <w:r w:rsidRPr="007E5EB1">
        <w:rPr>
          <w:rFonts w:ascii="Times New Roman" w:eastAsia="Times New Roman" w:hAnsi="Times New Roman" w:cs="Times New Roman"/>
          <w:sz w:val="24"/>
          <w:szCs w:val="24"/>
          <w:lang w:eastAsia="pt-BR"/>
        </w:rPr>
        <w:t xml:space="preserve"> 28, § 5º, do Código de Defesa do Consumidor, autoriza o redirecionamento da execução contra o patrimônio de administradores </w:t>
      </w:r>
      <w:r w:rsidR="005A35C1">
        <w:rPr>
          <w:rFonts w:ascii="Times New Roman" w:eastAsia="Times New Roman" w:hAnsi="Times New Roman" w:cs="Times New Roman"/>
          <w:sz w:val="24"/>
          <w:szCs w:val="24"/>
          <w:lang w:eastAsia="pt-BR"/>
        </w:rPr>
        <w:t>não integrantes do quadro societário da pessoa jurídica devedora</w:t>
      </w:r>
      <w:r w:rsidR="00FA0193">
        <w:rPr>
          <w:rFonts w:ascii="Times New Roman" w:eastAsia="Times New Roman" w:hAnsi="Times New Roman" w:cs="Times New Roman"/>
          <w:sz w:val="24"/>
          <w:szCs w:val="24"/>
          <w:lang w:eastAsia="pt-BR"/>
        </w:rPr>
        <w:t>.</w:t>
      </w:r>
    </w:p>
    <w:p w14:paraId="48037DDE" w14:textId="36D42EA6" w:rsidR="007E5EB1" w:rsidRPr="007E5EB1" w:rsidRDefault="002770B3" w:rsidP="00C214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Conforme </w:t>
      </w:r>
      <w:r w:rsidR="007E5EB1" w:rsidRPr="007E5EB1">
        <w:rPr>
          <w:rFonts w:ascii="Times New Roman" w:eastAsia="Times New Roman" w:hAnsi="Times New Roman" w:cs="Times New Roman"/>
          <w:sz w:val="24"/>
          <w:szCs w:val="24"/>
          <w:lang w:eastAsia="pt-BR"/>
        </w:rPr>
        <w:t>interpretação sistemática e teleológica do dispositivo, conferida pelo S</w:t>
      </w:r>
      <w:r>
        <w:rPr>
          <w:rFonts w:ascii="Times New Roman" w:eastAsia="Times New Roman" w:hAnsi="Times New Roman" w:cs="Times New Roman"/>
          <w:sz w:val="24"/>
          <w:szCs w:val="24"/>
          <w:lang w:eastAsia="pt-BR"/>
        </w:rPr>
        <w:t xml:space="preserve">uperior Tribunal de Justiça, </w:t>
      </w:r>
      <w:r w:rsidR="007E5EB1" w:rsidRPr="007E5EB1">
        <w:rPr>
          <w:rFonts w:ascii="Times New Roman" w:eastAsia="Times New Roman" w:hAnsi="Times New Roman" w:cs="Times New Roman"/>
          <w:sz w:val="24"/>
          <w:szCs w:val="24"/>
          <w:lang w:eastAsia="pt-BR"/>
        </w:rPr>
        <w:t xml:space="preserve">a responsabilização patrimonial direta e objetiva, fundada unicamente no obstáculo ao ressarcimento, dirige-se </w:t>
      </w:r>
      <w:r w:rsidR="000B354D">
        <w:rPr>
          <w:rFonts w:ascii="Times New Roman" w:eastAsia="Times New Roman" w:hAnsi="Times New Roman" w:cs="Times New Roman"/>
          <w:sz w:val="24"/>
          <w:szCs w:val="24"/>
          <w:lang w:eastAsia="pt-BR"/>
        </w:rPr>
        <w:t>exclusivamente à figura do sócio.</w:t>
      </w:r>
      <w:r w:rsidR="007E5EB1" w:rsidRPr="007E5EB1">
        <w:rPr>
          <w:rFonts w:ascii="Times New Roman" w:eastAsia="Times New Roman" w:hAnsi="Times New Roman" w:cs="Times New Roman"/>
          <w:sz w:val="24"/>
          <w:szCs w:val="24"/>
          <w:lang w:eastAsia="pt-BR"/>
        </w:rPr>
        <w:t xml:space="preserve"> A extensão dessa responsabilidade a administrador não sócio, por sua vez, demanda comprovação dos requisitos da teoria maior, disposta no art</w:t>
      </w:r>
      <w:r w:rsidR="00C21421">
        <w:rPr>
          <w:rFonts w:ascii="Times New Roman" w:eastAsia="Times New Roman" w:hAnsi="Times New Roman" w:cs="Times New Roman"/>
          <w:sz w:val="24"/>
          <w:szCs w:val="24"/>
          <w:lang w:eastAsia="pt-BR"/>
        </w:rPr>
        <w:t>igo</w:t>
      </w:r>
      <w:r w:rsidR="007E5EB1" w:rsidRPr="007E5EB1">
        <w:rPr>
          <w:rFonts w:ascii="Times New Roman" w:eastAsia="Times New Roman" w:hAnsi="Times New Roman" w:cs="Times New Roman"/>
          <w:sz w:val="24"/>
          <w:szCs w:val="24"/>
          <w:lang w:eastAsia="pt-BR"/>
        </w:rPr>
        <w:t xml:space="preserve"> 50 do Código Civil, </w:t>
      </w:r>
      <w:r w:rsidR="00C21421">
        <w:rPr>
          <w:rFonts w:ascii="Times New Roman" w:eastAsia="Times New Roman" w:hAnsi="Times New Roman" w:cs="Times New Roman"/>
          <w:sz w:val="24"/>
          <w:szCs w:val="24"/>
          <w:lang w:eastAsia="pt-BR"/>
        </w:rPr>
        <w:t>quais seja</w:t>
      </w:r>
      <w:r w:rsidR="007E5EB1" w:rsidRPr="007E5EB1">
        <w:rPr>
          <w:rFonts w:ascii="Times New Roman" w:eastAsia="Times New Roman" w:hAnsi="Times New Roman" w:cs="Times New Roman"/>
          <w:sz w:val="24"/>
          <w:szCs w:val="24"/>
          <w:lang w:eastAsia="pt-BR"/>
        </w:rPr>
        <w:t xml:space="preserve">, a prática de ato ilícito com abuso da personalidade, caracterizado </w:t>
      </w:r>
      <w:r w:rsidR="00343607">
        <w:rPr>
          <w:rFonts w:ascii="Times New Roman" w:eastAsia="Times New Roman" w:hAnsi="Times New Roman" w:cs="Times New Roman"/>
          <w:sz w:val="24"/>
          <w:szCs w:val="24"/>
          <w:lang w:eastAsia="pt-BR"/>
        </w:rPr>
        <w:t xml:space="preserve">por </w:t>
      </w:r>
      <w:r w:rsidR="007E5EB1" w:rsidRPr="007E5EB1">
        <w:rPr>
          <w:rFonts w:ascii="Times New Roman" w:eastAsia="Times New Roman" w:hAnsi="Times New Roman" w:cs="Times New Roman"/>
          <w:sz w:val="24"/>
          <w:szCs w:val="24"/>
          <w:lang w:eastAsia="pt-BR"/>
        </w:rPr>
        <w:t>desvio de finalidade ou confusão patrimonial.</w:t>
      </w:r>
    </w:p>
    <w:p w14:paraId="4900864A" w14:textId="162D25E3" w:rsid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Sobre o tema</w:t>
      </w:r>
      <w:r w:rsidR="008E7385">
        <w:rPr>
          <w:rFonts w:ascii="Times New Roman" w:eastAsia="Times New Roman" w:hAnsi="Times New Roman" w:cs="Times New Roman"/>
          <w:sz w:val="24"/>
          <w:szCs w:val="24"/>
          <w:lang w:eastAsia="pt-BR"/>
        </w:rPr>
        <w:t>:</w:t>
      </w:r>
    </w:p>
    <w:p w14:paraId="43B1C73E" w14:textId="77777777" w:rsidR="008E7385" w:rsidRDefault="008E7385" w:rsidP="007E5EB1">
      <w:pPr>
        <w:spacing w:before="240" w:after="240" w:line="360" w:lineRule="auto"/>
        <w:ind w:firstLine="709"/>
        <w:jc w:val="both"/>
        <w:rPr>
          <w:rFonts w:ascii="Times New Roman" w:eastAsia="Times New Roman" w:hAnsi="Times New Roman" w:cs="Times New Roman"/>
          <w:sz w:val="24"/>
          <w:szCs w:val="24"/>
          <w:lang w:eastAsia="pt-BR"/>
        </w:rPr>
      </w:pPr>
    </w:p>
    <w:p w14:paraId="2E8C4AB4" w14:textId="68498056" w:rsidR="0095396D" w:rsidRDefault="00E33AEF" w:rsidP="00E33AEF">
      <w:pPr>
        <w:spacing w:after="240" w:line="360" w:lineRule="auto"/>
        <w:ind w:left="2268"/>
        <w:jc w:val="both"/>
        <w:rPr>
          <w:rFonts w:ascii="Times New Roman" w:eastAsia="Times New Roman" w:hAnsi="Times New Roman" w:cs="Times New Roman"/>
          <w:sz w:val="20"/>
          <w:szCs w:val="20"/>
          <w:lang w:eastAsia="pt-BR"/>
        </w:rPr>
      </w:pPr>
      <w:r w:rsidRPr="0099134F">
        <w:rPr>
          <w:rFonts w:ascii="Times New Roman" w:eastAsia="Times New Roman" w:hAnsi="Times New Roman" w:cs="Times New Roman"/>
          <w:sz w:val="20"/>
          <w:szCs w:val="20"/>
          <w:lang w:eastAsia="pt-BR"/>
        </w:rPr>
        <w:t xml:space="preserve">CIVIL. PROCESSUAL CIVIL. RECURSO ESPECIAL. RECURSO MANEJADO SOB A ÉGIDE DO </w:t>
      </w:r>
      <w:proofErr w:type="spellStart"/>
      <w:r w:rsidRPr="0099134F">
        <w:rPr>
          <w:rFonts w:ascii="Times New Roman" w:eastAsia="Times New Roman" w:hAnsi="Times New Roman" w:cs="Times New Roman"/>
          <w:sz w:val="20"/>
          <w:szCs w:val="20"/>
          <w:lang w:eastAsia="pt-BR"/>
        </w:rPr>
        <w:t>NCPC</w:t>
      </w:r>
      <w:proofErr w:type="spellEnd"/>
      <w:r w:rsidRPr="0099134F">
        <w:rPr>
          <w:rFonts w:ascii="Times New Roman" w:eastAsia="Times New Roman" w:hAnsi="Times New Roman" w:cs="Times New Roman"/>
          <w:sz w:val="20"/>
          <w:szCs w:val="20"/>
          <w:lang w:eastAsia="pt-BR"/>
        </w:rPr>
        <w:t xml:space="preserve">. AGRAVO DE INSTRUMENTO. AÇÃO DE ROMPIMENTO CONTRATUAL E INDENIZAÇÃO POR DANOS MORAIS E MATERIAIS. FASE DE CUMPRIMENTO DE SENTENÇA. RELAÇÃO DE CONSUMO. AUSÊNCIA DE ATIVOS FINANCEIROS DA EMPRESA EXECUTADA. VIOLAÇÃO DO ART. 1.022, II, DO </w:t>
      </w:r>
      <w:proofErr w:type="spellStart"/>
      <w:r w:rsidRPr="0099134F">
        <w:rPr>
          <w:rFonts w:ascii="Times New Roman" w:eastAsia="Times New Roman" w:hAnsi="Times New Roman" w:cs="Times New Roman"/>
          <w:sz w:val="20"/>
          <w:szCs w:val="20"/>
          <w:lang w:eastAsia="pt-BR"/>
        </w:rPr>
        <w:t>NCPC</w:t>
      </w:r>
      <w:proofErr w:type="spellEnd"/>
      <w:r w:rsidRPr="0099134F">
        <w:rPr>
          <w:rFonts w:ascii="Times New Roman" w:eastAsia="Times New Roman" w:hAnsi="Times New Roman" w:cs="Times New Roman"/>
          <w:sz w:val="20"/>
          <w:szCs w:val="20"/>
          <w:lang w:eastAsia="pt-BR"/>
        </w:rPr>
        <w:t>. NÃO CONFIGURADA. DESCONSIDERAÇÃO DA PESSOA JURÍDICA. ART. 28, § 5.º, DO CDC (TEORIA MENOR) QUE NÃO EXIGE A PRÁTICA DE ATOS FRAUDULENTOS, MAS NÃO POSSUI A HIPÓTESE DE RESPONSABILIZAÇÃO DO ADMINISTRADOR. ART. 50 DO CC (TEORIA MAIOR) QUE PERMITE A RESPONSABILIZAÇÃO DO ADMINISTRADOR NÃO-SÓCIO, MAS EXIGE QUE AS OBRIGAÇÕES CONTRAÍDAS TENHAM SIDO REALIZADAS COM EXCESSO DE PODER OU DESVIO DO OBJETO SOCIAL. TRIBUNAL DE ORIGEM QUE NÃO INDICOU NENHUMA PRÁTICA DE ATO IRREGULAR OU FRAUDULENTO PELO ADMINISTRADOR NÃO-SÓCIO. RESPONSABILIZAÇÃO INDEVIDA. RECURSO ESPECIAL CONHECIDO E PARCIALMENTE PROVIDO.</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sz w:val="20"/>
          <w:szCs w:val="20"/>
          <w:lang w:eastAsia="pt-BR"/>
        </w:rPr>
        <w:t xml:space="preserve">1. Aplicabilidade do </w:t>
      </w:r>
      <w:proofErr w:type="spellStart"/>
      <w:r w:rsidRPr="0099134F">
        <w:rPr>
          <w:rFonts w:ascii="Times New Roman" w:eastAsia="Times New Roman" w:hAnsi="Times New Roman" w:cs="Times New Roman"/>
          <w:sz w:val="20"/>
          <w:szCs w:val="20"/>
          <w:lang w:eastAsia="pt-BR"/>
        </w:rPr>
        <w:t>NCPC</w:t>
      </w:r>
      <w:proofErr w:type="spellEnd"/>
      <w:r w:rsidRPr="0099134F">
        <w:rPr>
          <w:rFonts w:ascii="Times New Roman" w:eastAsia="Times New Roman" w:hAnsi="Times New Roman" w:cs="Times New Roman"/>
          <w:sz w:val="20"/>
          <w:szCs w:val="20"/>
          <w:lang w:eastAsia="pt-BR"/>
        </w:rPr>
        <w:t xml:space="preserve"> a este recurso ante os termos do Enunciado Administrativo nº 3 aprovado pelo Plenário do STJ na sessão de 9/3/2016: Aos recursos interpostos com fundamento no CPC/2015 (relativos a decisões publicadas a partir de 18 de março de 2016)</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sz w:val="20"/>
          <w:szCs w:val="20"/>
          <w:lang w:eastAsia="pt-BR"/>
        </w:rPr>
        <w:t>serão exigidos os requisitos de admissibilidade recursal na forma do novo CPC.</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sz w:val="20"/>
          <w:szCs w:val="20"/>
          <w:lang w:eastAsia="pt-BR"/>
        </w:rPr>
        <w:t xml:space="preserve">2. De acordo com a jurisprudência desta Corte, a contradição ou obscuridade remediáveis por embargos de declaração são aquelas internas ao julgado embargado, devido a desarmonia entre a fundamentação e as conclusões da própria decisão; já a omissão, que enseja o oferecimento de embargos de declaração, consiste na falta de manifestação expressa sobre algum fundamento de fato ou de direito ventilado nas razões recursais. No caso dos autos houve manifestação do Tribunal de origem, ainda que em sentido contrário ao pretendido pela parte. Violação do art. 1.022 do </w:t>
      </w:r>
      <w:proofErr w:type="spellStart"/>
      <w:r w:rsidRPr="0099134F">
        <w:rPr>
          <w:rFonts w:ascii="Times New Roman" w:eastAsia="Times New Roman" w:hAnsi="Times New Roman" w:cs="Times New Roman"/>
          <w:sz w:val="20"/>
          <w:szCs w:val="20"/>
          <w:lang w:eastAsia="pt-BR"/>
        </w:rPr>
        <w:t>NCPC</w:t>
      </w:r>
      <w:proofErr w:type="spellEnd"/>
      <w:r w:rsidRPr="0099134F">
        <w:rPr>
          <w:rFonts w:ascii="Times New Roman" w:eastAsia="Times New Roman" w:hAnsi="Times New Roman" w:cs="Times New Roman"/>
          <w:sz w:val="20"/>
          <w:szCs w:val="20"/>
          <w:lang w:eastAsia="pt-BR"/>
        </w:rPr>
        <w:t xml:space="preserve"> não configurada.</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sz w:val="20"/>
          <w:szCs w:val="20"/>
          <w:lang w:eastAsia="pt-BR"/>
        </w:rPr>
        <w:t>3. Esta Corte já consolidou o entendimento de que nas relações jurídicas de natureza civil-empresarial, adota-se a teoria maior, segundo a qual a desconsideração da personalidade jurídica é medida excepcional que permite sejam atingidos os bens das pessoas naturais (sócios ou administradores), de modo a responsabilizá-las pelos prejuízos que, em fraude ou abuso, causaram a terceiros, nos termos do art. 50 do CC.</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b/>
          <w:bCs/>
          <w:sz w:val="20"/>
          <w:szCs w:val="20"/>
          <w:lang w:eastAsia="pt-BR"/>
        </w:rPr>
        <w:t>4. É possível atribuir responsabilidade ao administrador não-sócio, por expressa previsão legal. Contudo, tal responsabilização decorre de atos praticados pelo administrador em relação as obrigações contraídas com excesso de poder ou desvio do objeto social.</w:t>
      </w:r>
      <w:r w:rsidR="0099134F">
        <w:rPr>
          <w:rFonts w:ascii="Times New Roman" w:eastAsia="Times New Roman" w:hAnsi="Times New Roman" w:cs="Times New Roman"/>
          <w:b/>
          <w:bCs/>
          <w:sz w:val="20"/>
          <w:szCs w:val="20"/>
          <w:lang w:eastAsia="pt-BR"/>
        </w:rPr>
        <w:t xml:space="preserve"> </w:t>
      </w:r>
      <w:r w:rsidRPr="0099134F">
        <w:rPr>
          <w:rFonts w:ascii="Times New Roman" w:eastAsia="Times New Roman" w:hAnsi="Times New Roman" w:cs="Times New Roman"/>
          <w:sz w:val="20"/>
          <w:szCs w:val="20"/>
          <w:lang w:eastAsia="pt-BR"/>
        </w:rPr>
        <w:t>5. A responsabilidade dos administradores, nestas hipóteses, é subjetiva, e depende da prática do ato abusivo ou fraudulento. No caso dos autos, não foi consignada nenhuma prática de ato irregular ou fraudulento do administrador.</w:t>
      </w:r>
      <w:r w:rsidR="0099134F">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b/>
          <w:bCs/>
          <w:sz w:val="20"/>
          <w:szCs w:val="20"/>
          <w:lang w:eastAsia="pt-BR"/>
        </w:rPr>
        <w:t>6. O art. 50 do CC, que adota a teoria maior e permite a responsabilização do administrador não-sócio, não pode ser analisado em conjunto com o parágrafo 5º do art. 28 do CDC, que adota a teoria menor, pois este exclui a necessidade de preenchimento dos requisitos previstos no caput do art. 28 do CDC permitindo a desconsideração da personalidade jurídica, por exemplo, pelo simples inadimplemento ou pela ausência de bens suficientes para a satisfação do débito. Microssistemas independentes.</w:t>
      </w:r>
      <w:r w:rsidR="0099134F">
        <w:rPr>
          <w:rFonts w:ascii="Times New Roman" w:eastAsia="Times New Roman" w:hAnsi="Times New Roman" w:cs="Times New Roman"/>
          <w:b/>
          <w:bCs/>
          <w:sz w:val="20"/>
          <w:szCs w:val="20"/>
          <w:lang w:eastAsia="pt-BR"/>
        </w:rPr>
        <w:t xml:space="preserve"> </w:t>
      </w:r>
      <w:r w:rsidRPr="0099134F">
        <w:rPr>
          <w:rFonts w:ascii="Times New Roman" w:eastAsia="Times New Roman" w:hAnsi="Times New Roman" w:cs="Times New Roman"/>
          <w:sz w:val="20"/>
          <w:szCs w:val="20"/>
          <w:lang w:eastAsia="pt-BR"/>
        </w:rPr>
        <w:t xml:space="preserve">7. As premissas adotadas pelo Tribunal de origem não indicaram nenhuma prática de ato irregular ou fraudulento pelo administrador não-sócio. 8. Assim, não havendo previsão expressa no código </w:t>
      </w:r>
      <w:proofErr w:type="spellStart"/>
      <w:r w:rsidRPr="0099134F">
        <w:rPr>
          <w:rFonts w:ascii="Times New Roman" w:eastAsia="Times New Roman" w:hAnsi="Times New Roman" w:cs="Times New Roman"/>
          <w:sz w:val="20"/>
          <w:szCs w:val="20"/>
          <w:lang w:eastAsia="pt-BR"/>
        </w:rPr>
        <w:t>consumeirista</w:t>
      </w:r>
      <w:proofErr w:type="spellEnd"/>
      <w:r w:rsidRPr="0099134F">
        <w:rPr>
          <w:rFonts w:ascii="Times New Roman" w:eastAsia="Times New Roman" w:hAnsi="Times New Roman" w:cs="Times New Roman"/>
          <w:sz w:val="20"/>
          <w:szCs w:val="20"/>
          <w:lang w:eastAsia="pt-BR"/>
        </w:rPr>
        <w:t xml:space="preserve"> quanto à possibilidade de se atingir os bens do administrador não-sócio, pelo simples inadimplemento da pessoa jurídica (ausência de bens) ou mesmo pela baixa registral da empresa executada, é forçoso reconhecer a impossibilidade de atribuição dos efeitos da desconsideração da personalidade jurídica ao administrador não-sócio.</w:t>
      </w:r>
      <w:r w:rsidR="0095396D">
        <w:rPr>
          <w:rFonts w:ascii="Times New Roman" w:eastAsia="Times New Roman" w:hAnsi="Times New Roman" w:cs="Times New Roman"/>
          <w:sz w:val="20"/>
          <w:szCs w:val="20"/>
          <w:lang w:eastAsia="pt-BR"/>
        </w:rPr>
        <w:t xml:space="preserve"> </w:t>
      </w:r>
      <w:r w:rsidRPr="0099134F">
        <w:rPr>
          <w:rFonts w:ascii="Times New Roman" w:eastAsia="Times New Roman" w:hAnsi="Times New Roman" w:cs="Times New Roman"/>
          <w:sz w:val="20"/>
          <w:szCs w:val="20"/>
          <w:lang w:eastAsia="pt-BR"/>
        </w:rPr>
        <w:t>9. Recurso especial conhecido e parcialmente provido.</w:t>
      </w:r>
      <w:r w:rsidR="0095396D">
        <w:rPr>
          <w:rFonts w:ascii="Times New Roman" w:eastAsia="Times New Roman" w:hAnsi="Times New Roman" w:cs="Times New Roman"/>
          <w:sz w:val="20"/>
          <w:szCs w:val="20"/>
          <w:lang w:eastAsia="pt-BR"/>
        </w:rPr>
        <w:t xml:space="preserve"> (STJ. Terceira Turma. Relator: Ministro Moura Ribeiro. </w:t>
      </w:r>
      <w:r w:rsidRPr="0099134F">
        <w:rPr>
          <w:rFonts w:ascii="Times New Roman" w:eastAsia="Times New Roman" w:hAnsi="Times New Roman" w:cs="Times New Roman"/>
          <w:sz w:val="20"/>
          <w:szCs w:val="20"/>
          <w:lang w:eastAsia="pt-BR"/>
        </w:rPr>
        <w:t>REsp n. 1.658.648/SP</w:t>
      </w:r>
      <w:r w:rsidR="0095396D">
        <w:rPr>
          <w:rFonts w:ascii="Times New Roman" w:eastAsia="Times New Roman" w:hAnsi="Times New Roman" w:cs="Times New Roman"/>
          <w:sz w:val="20"/>
          <w:szCs w:val="20"/>
          <w:lang w:eastAsia="pt-BR"/>
        </w:rPr>
        <w:t xml:space="preserve">. </w:t>
      </w:r>
      <w:r w:rsidR="007A72A2">
        <w:rPr>
          <w:rFonts w:ascii="Times New Roman" w:eastAsia="Times New Roman" w:hAnsi="Times New Roman" w:cs="Times New Roman"/>
          <w:sz w:val="20"/>
          <w:szCs w:val="20"/>
          <w:lang w:eastAsia="pt-BR"/>
        </w:rPr>
        <w:t>Data de julgamento: 7-11-2017. Data de publicação: 20-11-2017).</w:t>
      </w:r>
    </w:p>
    <w:p w14:paraId="2BB3BB1C" w14:textId="77777777" w:rsidR="00A2792B" w:rsidRDefault="00A2792B" w:rsidP="00E33AEF">
      <w:pPr>
        <w:spacing w:after="240" w:line="360" w:lineRule="auto"/>
        <w:ind w:left="2268"/>
        <w:jc w:val="both"/>
        <w:rPr>
          <w:rFonts w:ascii="Times New Roman" w:eastAsia="Times New Roman" w:hAnsi="Times New Roman" w:cs="Times New Roman"/>
          <w:sz w:val="20"/>
          <w:szCs w:val="20"/>
          <w:lang w:eastAsia="pt-BR"/>
        </w:rPr>
      </w:pPr>
    </w:p>
    <w:p w14:paraId="3CA440D5" w14:textId="77777777" w:rsidR="00A2792B" w:rsidRDefault="00A2792B" w:rsidP="00A2792B">
      <w:pPr>
        <w:spacing w:after="240" w:line="360" w:lineRule="auto"/>
        <w:ind w:left="2268"/>
        <w:jc w:val="both"/>
        <w:rPr>
          <w:rFonts w:ascii="Times New Roman" w:hAnsi="Times New Roman" w:cs="Times New Roman"/>
          <w:iCs/>
          <w:sz w:val="20"/>
          <w:szCs w:val="20"/>
        </w:rPr>
      </w:pPr>
      <w:r>
        <w:rPr>
          <w:rFonts w:ascii="Times New Roman" w:hAnsi="Times New Roman" w:cs="Times New Roman"/>
          <w:iCs/>
          <w:sz w:val="20"/>
          <w:szCs w:val="20"/>
        </w:rPr>
        <w:t xml:space="preserve">AGRAVO DE INSTRUMENTO. INCIDENTE DE DESCONSIDERAÇÃO DA PERSONALIDADE JURÍDICA REJEITADO EM PRIMEIRO GRAU. NÃO VERIFICADO ABUSO DE PERSONALIDADE JURÍDICA. </w:t>
      </w:r>
      <w:proofErr w:type="spellStart"/>
      <w:r w:rsidRPr="00310F68">
        <w:rPr>
          <w:rFonts w:ascii="Times New Roman" w:hAnsi="Times New Roman" w:cs="Times New Roman"/>
          <w:iCs/>
          <w:sz w:val="20"/>
          <w:szCs w:val="20"/>
        </w:rPr>
        <w:t>VIZIVALI</w:t>
      </w:r>
      <w:proofErr w:type="spellEnd"/>
      <w:r w:rsidRPr="00310F68">
        <w:rPr>
          <w:rFonts w:ascii="Times New Roman" w:hAnsi="Times New Roman" w:cs="Times New Roman"/>
          <w:iCs/>
          <w:sz w:val="20"/>
          <w:szCs w:val="20"/>
        </w:rPr>
        <w:t xml:space="preserve">. FUNDAÇÃO NÃO TEM SÓCIOS. ARTIGO 28, § 5º, DO CÓDIGO DE DEFESA DO CONSUMIDOR (TEORIA MENOR) QUE NÃO POSSUI A HIPÓTESE DE RESPONSABILIZAÇÃO DO ADMINISTRADOR. ARTIGO 50 DO CÓDIGO CIVIL (TEORIA MAIOR) QUE PERMITE A RESPONSABILIZAÇÃO DO ADMINISTRADOR NÃO-SÓCIO, MAS EXIGE PROVA DE ABUSO DE PERSONALIDADE. INEXISTÊNCIA DE BENS E DISSOLUÇÃO IRREGULAR. ELEMENTOS INSUFICIENTES PARA CARACTERIZAÇÃO. </w:t>
      </w:r>
      <w:r>
        <w:rPr>
          <w:rFonts w:ascii="Times New Roman" w:hAnsi="Times New Roman" w:cs="Times New Roman"/>
          <w:iCs/>
          <w:sz w:val="20"/>
          <w:szCs w:val="20"/>
        </w:rPr>
        <w:t xml:space="preserve">DECISÃO MANTIDA. RECURSO DESPROVIDO. </w:t>
      </w:r>
      <w:r w:rsidRPr="00310F68">
        <w:rPr>
          <w:rFonts w:ascii="Times New Roman" w:hAnsi="Times New Roman" w:cs="Times New Roman"/>
          <w:iCs/>
          <w:sz w:val="20"/>
          <w:szCs w:val="20"/>
        </w:rPr>
        <w:t>(</w:t>
      </w:r>
      <w:proofErr w:type="spellStart"/>
      <w:r w:rsidRPr="00310F68">
        <w:rPr>
          <w:rFonts w:ascii="Times New Roman" w:hAnsi="Times New Roman" w:cs="Times New Roman"/>
          <w:iCs/>
          <w:sz w:val="20"/>
          <w:szCs w:val="20"/>
        </w:rPr>
        <w:t>TJPR</w:t>
      </w:r>
      <w:proofErr w:type="spellEnd"/>
      <w:r>
        <w:rPr>
          <w:rFonts w:ascii="Times New Roman" w:hAnsi="Times New Roman" w:cs="Times New Roman"/>
          <w:iCs/>
          <w:sz w:val="20"/>
          <w:szCs w:val="20"/>
        </w:rPr>
        <w:t>. 7ª Câmara Cível. Relator: Desembargador José Augusto Gomes Aniceto.</w:t>
      </w:r>
      <w:r w:rsidRPr="00310F68">
        <w:rPr>
          <w:rFonts w:ascii="Times New Roman" w:hAnsi="Times New Roman" w:cs="Times New Roman"/>
          <w:iCs/>
          <w:sz w:val="20"/>
          <w:szCs w:val="20"/>
        </w:rPr>
        <w:t xml:space="preserve"> 0051946-24.2022.8.16.0000</w:t>
      </w:r>
      <w:r>
        <w:rPr>
          <w:rFonts w:ascii="Times New Roman" w:hAnsi="Times New Roman" w:cs="Times New Roman"/>
          <w:iCs/>
          <w:sz w:val="20"/>
          <w:szCs w:val="20"/>
        </w:rPr>
        <w:t>.</w:t>
      </w:r>
      <w:r w:rsidRPr="00310F68">
        <w:rPr>
          <w:rFonts w:ascii="Times New Roman" w:hAnsi="Times New Roman" w:cs="Times New Roman"/>
          <w:iCs/>
          <w:sz w:val="20"/>
          <w:szCs w:val="20"/>
        </w:rPr>
        <w:t xml:space="preserve"> Pinhais</w:t>
      </w:r>
      <w:r>
        <w:rPr>
          <w:rFonts w:ascii="Times New Roman" w:hAnsi="Times New Roman" w:cs="Times New Roman"/>
          <w:iCs/>
          <w:sz w:val="20"/>
          <w:szCs w:val="20"/>
        </w:rPr>
        <w:t>. Data de julgamento: 22-11-2022).</w:t>
      </w:r>
    </w:p>
    <w:p w14:paraId="7C64A894" w14:textId="77777777" w:rsidR="00A2792B" w:rsidRDefault="00A2792B" w:rsidP="00E33AEF">
      <w:pPr>
        <w:spacing w:after="240" w:line="360" w:lineRule="auto"/>
        <w:ind w:left="2268"/>
        <w:jc w:val="both"/>
        <w:rPr>
          <w:rFonts w:ascii="Times New Roman" w:eastAsia="Times New Roman" w:hAnsi="Times New Roman" w:cs="Times New Roman"/>
          <w:sz w:val="20"/>
          <w:szCs w:val="20"/>
          <w:lang w:eastAsia="pt-BR"/>
        </w:rPr>
      </w:pPr>
    </w:p>
    <w:p w14:paraId="68AAFFD3" w14:textId="77777777" w:rsidR="008E7385" w:rsidRDefault="008E7385" w:rsidP="007E5EB1">
      <w:pPr>
        <w:spacing w:before="240" w:after="240" w:line="360" w:lineRule="auto"/>
        <w:ind w:firstLine="709"/>
        <w:jc w:val="both"/>
        <w:rPr>
          <w:rFonts w:ascii="Times New Roman" w:eastAsia="Times New Roman" w:hAnsi="Times New Roman" w:cs="Times New Roman"/>
          <w:sz w:val="24"/>
          <w:szCs w:val="24"/>
          <w:lang w:eastAsia="pt-BR"/>
        </w:rPr>
      </w:pPr>
    </w:p>
    <w:p w14:paraId="6C58C0D8" w14:textId="33D0B48B"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Portanto, a responsabilização de um administrador que não compõe a sociedade depende de prova de sua participação em atos de gestão fraudulentos ou que extrapolem os limites de seus poderes, o que não é o caso dos autos.</w:t>
      </w:r>
    </w:p>
    <w:p w14:paraId="5179D4FC" w14:textId="662DA2FD" w:rsidR="00F82727"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 xml:space="preserve">No caso vertente, </w:t>
      </w:r>
      <w:r w:rsidR="00F82727">
        <w:rPr>
          <w:rFonts w:ascii="Times New Roman" w:eastAsia="Times New Roman" w:hAnsi="Times New Roman" w:cs="Times New Roman"/>
          <w:sz w:val="24"/>
          <w:szCs w:val="24"/>
          <w:lang w:eastAsia="pt-BR"/>
        </w:rPr>
        <w:t xml:space="preserve">restou comprovado que os embargantes Renata Rossi </w:t>
      </w:r>
      <w:proofErr w:type="spellStart"/>
      <w:r w:rsidR="00F82727">
        <w:rPr>
          <w:rFonts w:ascii="Times New Roman" w:eastAsia="Times New Roman" w:hAnsi="Times New Roman" w:cs="Times New Roman"/>
          <w:sz w:val="24"/>
          <w:szCs w:val="24"/>
          <w:lang w:eastAsia="pt-BR"/>
        </w:rPr>
        <w:t>Cuppoloni</w:t>
      </w:r>
      <w:proofErr w:type="spellEnd"/>
      <w:r w:rsidR="00F82727">
        <w:rPr>
          <w:rFonts w:ascii="Times New Roman" w:eastAsia="Times New Roman" w:hAnsi="Times New Roman" w:cs="Times New Roman"/>
          <w:sz w:val="24"/>
          <w:szCs w:val="24"/>
          <w:lang w:eastAsia="pt-BR"/>
        </w:rPr>
        <w:t xml:space="preserve"> Rodrigues, João Paulo Franco Rossi </w:t>
      </w:r>
      <w:proofErr w:type="spellStart"/>
      <w:r w:rsidR="00F82727">
        <w:rPr>
          <w:rFonts w:ascii="Times New Roman" w:eastAsia="Times New Roman" w:hAnsi="Times New Roman" w:cs="Times New Roman"/>
          <w:sz w:val="24"/>
          <w:szCs w:val="24"/>
          <w:lang w:eastAsia="pt-BR"/>
        </w:rPr>
        <w:t>Cuppoloni</w:t>
      </w:r>
      <w:proofErr w:type="spellEnd"/>
      <w:r w:rsidR="00F82727">
        <w:rPr>
          <w:rFonts w:ascii="Times New Roman" w:eastAsia="Times New Roman" w:hAnsi="Times New Roman" w:cs="Times New Roman"/>
          <w:sz w:val="24"/>
          <w:szCs w:val="24"/>
          <w:lang w:eastAsia="pt-BR"/>
        </w:rPr>
        <w:t xml:space="preserve"> e Fernando Miziara de Mattos Cunha, </w:t>
      </w:r>
      <w:r w:rsidR="00815573">
        <w:rPr>
          <w:rFonts w:ascii="Times New Roman" w:eastAsia="Times New Roman" w:hAnsi="Times New Roman" w:cs="Times New Roman"/>
          <w:sz w:val="24"/>
          <w:szCs w:val="24"/>
          <w:lang w:eastAsia="pt-BR"/>
        </w:rPr>
        <w:t>ostentam a condição de administradores da pessoa jurídica devedora, sem, contudo, integrarem seu quadro societário. As únicas sócias</w:t>
      </w:r>
      <w:r w:rsidR="00F324B9">
        <w:rPr>
          <w:rFonts w:ascii="Times New Roman" w:eastAsia="Times New Roman" w:hAnsi="Times New Roman" w:cs="Times New Roman"/>
          <w:sz w:val="24"/>
          <w:szCs w:val="24"/>
          <w:lang w:eastAsia="pt-BR"/>
        </w:rPr>
        <w:t xml:space="preserve"> são a Rossi Residencial S. A. e a América Properties Ltda. (evento </w:t>
      </w:r>
      <w:r w:rsidR="006E495C">
        <w:rPr>
          <w:rFonts w:ascii="Times New Roman" w:eastAsia="Times New Roman" w:hAnsi="Times New Roman" w:cs="Times New Roman"/>
          <w:sz w:val="24"/>
          <w:szCs w:val="24"/>
          <w:lang w:eastAsia="pt-BR"/>
        </w:rPr>
        <w:t>1.11 – autos de origem</w:t>
      </w:r>
      <w:r w:rsidR="00F324B9">
        <w:rPr>
          <w:rFonts w:ascii="Times New Roman" w:eastAsia="Times New Roman" w:hAnsi="Times New Roman" w:cs="Times New Roman"/>
          <w:sz w:val="24"/>
          <w:szCs w:val="24"/>
          <w:lang w:eastAsia="pt-BR"/>
        </w:rPr>
        <w:t>).</w:t>
      </w:r>
    </w:p>
    <w:p w14:paraId="1577F610" w14:textId="1C3A8D87" w:rsid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Os embargados, ao postularem a desconsideração, fundamentaram seu pedido na insolvência da devedora, sem trazer aos autos prova de ato ilícito, desvio de finalidade ou confusão patrimonial praticado diretamente pelos administradores</w:t>
      </w:r>
      <w:r w:rsidR="006E495C">
        <w:rPr>
          <w:rFonts w:ascii="Times New Roman" w:eastAsia="Times New Roman" w:hAnsi="Times New Roman" w:cs="Times New Roman"/>
          <w:sz w:val="24"/>
          <w:szCs w:val="24"/>
          <w:lang w:eastAsia="pt-BR"/>
        </w:rPr>
        <w:t xml:space="preserve"> (</w:t>
      </w:r>
      <w:r w:rsidR="003B5A83">
        <w:rPr>
          <w:rFonts w:ascii="Times New Roman" w:eastAsia="Times New Roman" w:hAnsi="Times New Roman" w:cs="Times New Roman"/>
          <w:sz w:val="24"/>
          <w:szCs w:val="24"/>
          <w:lang w:eastAsia="pt-BR"/>
        </w:rPr>
        <w:t>CPC, art. 373, I</w:t>
      </w:r>
      <w:r w:rsidR="006E495C">
        <w:rPr>
          <w:rFonts w:ascii="Times New Roman" w:eastAsia="Times New Roman" w:hAnsi="Times New Roman" w:cs="Times New Roman"/>
          <w:sz w:val="24"/>
          <w:szCs w:val="24"/>
          <w:lang w:eastAsia="pt-BR"/>
        </w:rPr>
        <w:t>)</w:t>
      </w:r>
      <w:r w:rsidR="000E00B8">
        <w:rPr>
          <w:rFonts w:ascii="Times New Roman" w:eastAsia="Times New Roman" w:hAnsi="Times New Roman" w:cs="Times New Roman"/>
          <w:sz w:val="24"/>
          <w:szCs w:val="24"/>
          <w:lang w:eastAsia="pt-BR"/>
        </w:rPr>
        <w:t>.</w:t>
      </w:r>
    </w:p>
    <w:p w14:paraId="70DD12DD" w14:textId="6BF1C075" w:rsidR="001F6659" w:rsidRPr="007E5EB1" w:rsidRDefault="001F6659" w:rsidP="007E5EB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ponto, a </w:t>
      </w:r>
      <w:r w:rsidR="00CF5D05">
        <w:rPr>
          <w:rFonts w:ascii="Times New Roman" w:eastAsia="Times New Roman" w:hAnsi="Times New Roman" w:cs="Times New Roman"/>
          <w:sz w:val="24"/>
          <w:szCs w:val="24"/>
          <w:lang w:eastAsia="pt-BR"/>
        </w:rPr>
        <w:t xml:space="preserve">mera distribuição de ativos </w:t>
      </w:r>
      <w:r>
        <w:rPr>
          <w:rFonts w:ascii="Times New Roman" w:eastAsia="Times New Roman" w:hAnsi="Times New Roman" w:cs="Times New Roman"/>
          <w:sz w:val="24"/>
          <w:szCs w:val="24"/>
          <w:lang w:eastAsia="pt-BR"/>
        </w:rPr>
        <w:t>em personalidades jurídicas diversas</w:t>
      </w:r>
      <w:r w:rsidR="00CF5D05">
        <w:rPr>
          <w:rFonts w:ascii="Times New Roman" w:eastAsia="Times New Roman" w:hAnsi="Times New Roman" w:cs="Times New Roman"/>
          <w:sz w:val="24"/>
          <w:szCs w:val="24"/>
          <w:lang w:eastAsia="pt-BR"/>
        </w:rPr>
        <w:t xml:space="preserve"> não configura desvio de finalidade ou confusão patrimonial, mas legítimo instrumento de </w:t>
      </w:r>
      <w:r w:rsidR="00B40424">
        <w:rPr>
          <w:rFonts w:ascii="Times New Roman" w:eastAsia="Times New Roman" w:hAnsi="Times New Roman" w:cs="Times New Roman"/>
          <w:sz w:val="24"/>
          <w:szCs w:val="24"/>
          <w:lang w:eastAsia="pt-BR"/>
        </w:rPr>
        <w:t>alocação patrimonial e gestão de risco</w:t>
      </w:r>
      <w:r w:rsidR="002A412C">
        <w:rPr>
          <w:rFonts w:ascii="Times New Roman" w:eastAsia="Times New Roman" w:hAnsi="Times New Roman" w:cs="Times New Roman"/>
          <w:sz w:val="24"/>
          <w:szCs w:val="24"/>
          <w:lang w:eastAsia="pt-BR"/>
        </w:rPr>
        <w:t xml:space="preserve">, </w:t>
      </w:r>
      <w:r w:rsidR="00B40424">
        <w:rPr>
          <w:rFonts w:ascii="Times New Roman" w:eastAsia="Times New Roman" w:hAnsi="Times New Roman" w:cs="Times New Roman"/>
          <w:sz w:val="24"/>
          <w:szCs w:val="24"/>
          <w:lang w:eastAsia="pt-BR"/>
        </w:rPr>
        <w:t>juridicamente válidos</w:t>
      </w:r>
      <w:r w:rsidR="002A412C">
        <w:rPr>
          <w:rFonts w:ascii="Times New Roman" w:eastAsia="Times New Roman" w:hAnsi="Times New Roman" w:cs="Times New Roman"/>
          <w:sz w:val="24"/>
          <w:szCs w:val="24"/>
          <w:lang w:eastAsia="pt-BR"/>
        </w:rPr>
        <w:t>, à disposição para o desempenho de atividade econômica.</w:t>
      </w:r>
    </w:p>
    <w:p w14:paraId="36278048" w14:textId="1F72FB9C"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Nesse cenário, conquanto estejam presentes os requisitos para a aplicação da teoria menor em face</w:t>
      </w:r>
      <w:r w:rsidR="00003D00" w:rsidRPr="00003D00">
        <w:rPr>
          <w:rFonts w:ascii="Times New Roman" w:eastAsia="Times New Roman" w:hAnsi="Times New Roman" w:cs="Times New Roman"/>
          <w:sz w:val="24"/>
          <w:szCs w:val="24"/>
          <w:lang w:eastAsia="pt-BR"/>
        </w:rPr>
        <w:t xml:space="preserve"> das sócias, </w:t>
      </w:r>
      <w:r w:rsidRPr="007E5EB1">
        <w:rPr>
          <w:rFonts w:ascii="Times New Roman" w:eastAsia="Times New Roman" w:hAnsi="Times New Roman" w:cs="Times New Roman"/>
          <w:sz w:val="24"/>
          <w:szCs w:val="24"/>
          <w:lang w:eastAsia="pt-BR"/>
        </w:rPr>
        <w:t>não estão preenchidos os pressupostos para o redirecionamento da execução contra os administradores não sócios.</w:t>
      </w:r>
    </w:p>
    <w:p w14:paraId="174519EF" w14:textId="05419339" w:rsidR="005F6B9D" w:rsidRDefault="007E5EB1" w:rsidP="004922F3">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Impõe-se, assim, o acolhimento dos embargos para</w:t>
      </w:r>
      <w:r w:rsidR="005F6B9D">
        <w:rPr>
          <w:rFonts w:ascii="Times New Roman" w:eastAsia="Times New Roman" w:hAnsi="Times New Roman" w:cs="Times New Roman"/>
          <w:sz w:val="24"/>
          <w:szCs w:val="24"/>
          <w:lang w:eastAsia="pt-BR"/>
        </w:rPr>
        <w:t xml:space="preserve"> sanar a omissão apontada e</w:t>
      </w:r>
      <w:r w:rsidR="009A11A0">
        <w:rPr>
          <w:rFonts w:ascii="Times New Roman" w:eastAsia="Times New Roman" w:hAnsi="Times New Roman" w:cs="Times New Roman"/>
          <w:sz w:val="24"/>
          <w:szCs w:val="24"/>
          <w:lang w:eastAsia="pt-BR"/>
        </w:rPr>
        <w:t xml:space="preserve"> reformar o acórdão embargado, julgando-se parcialmente procedente o pedido de desconsideração da personalidade jurídica para </w:t>
      </w:r>
      <w:r w:rsidR="004922F3">
        <w:rPr>
          <w:rFonts w:ascii="Times New Roman" w:eastAsia="Times New Roman" w:hAnsi="Times New Roman" w:cs="Times New Roman"/>
          <w:sz w:val="24"/>
          <w:szCs w:val="24"/>
          <w:lang w:eastAsia="pt-BR"/>
        </w:rPr>
        <w:t xml:space="preserve">admitir a responsabilização solidária, com inclusão no polo passivo do processo executório, da </w:t>
      </w:r>
      <w:r w:rsidR="004922F3">
        <w:rPr>
          <w:rFonts w:ascii="Times New Roman" w:eastAsia="Times New Roman" w:hAnsi="Times New Roman" w:cs="Times New Roman"/>
          <w:sz w:val="24"/>
          <w:szCs w:val="24"/>
          <w:lang w:eastAsia="pt-BR"/>
        </w:rPr>
        <w:t>Rossi Residencial S. A. e a América Properties Ltda.</w:t>
      </w:r>
      <w:r w:rsidR="004922F3">
        <w:rPr>
          <w:rFonts w:ascii="Times New Roman" w:eastAsia="Times New Roman" w:hAnsi="Times New Roman" w:cs="Times New Roman"/>
          <w:sz w:val="24"/>
          <w:szCs w:val="24"/>
          <w:lang w:eastAsia="pt-BR"/>
        </w:rPr>
        <w:t>, sócias da devedora principal.</w:t>
      </w:r>
    </w:p>
    <w:p w14:paraId="505EC99B" w14:textId="77777777" w:rsidR="004922F3" w:rsidRDefault="004922F3" w:rsidP="004922F3">
      <w:pPr>
        <w:spacing w:before="240" w:after="240" w:line="360" w:lineRule="auto"/>
        <w:ind w:firstLine="709"/>
        <w:jc w:val="both"/>
        <w:rPr>
          <w:rFonts w:ascii="Times New Roman" w:eastAsia="Times New Roman" w:hAnsi="Times New Roman" w:cs="Times New Roman"/>
          <w:sz w:val="24"/>
          <w:szCs w:val="24"/>
          <w:lang w:eastAsia="pt-BR"/>
        </w:rPr>
      </w:pPr>
    </w:p>
    <w:p w14:paraId="70D109A6" w14:textId="1A70E939" w:rsidR="009C3FC9" w:rsidRPr="00A33BD4" w:rsidRDefault="003437D0" w:rsidP="009C3FC9">
      <w:pPr>
        <w:autoSpaceDN w:val="0"/>
        <w:adjustRightInd w:val="0"/>
        <w:spacing w:after="240" w:line="360" w:lineRule="auto"/>
        <w:ind w:firstLine="709"/>
        <w:jc w:val="both"/>
        <w:rPr>
          <w:rFonts w:ascii="Times New Roman" w:eastAsia="Times New Roman" w:hAnsi="Times New Roman" w:cs="Times New Roman"/>
          <w:sz w:val="24"/>
          <w:szCs w:val="24"/>
          <w:lang w:eastAsia="pt-BR"/>
        </w:rPr>
      </w:pPr>
      <w:r w:rsidRPr="00754942">
        <w:rPr>
          <w:rFonts w:ascii="Times New Roman" w:hAnsi="Times New Roman" w:cs="Times New Roman"/>
          <w:sz w:val="24"/>
          <w:szCs w:val="24"/>
        </w:rPr>
        <w:t>II.IV –</w:t>
      </w:r>
      <w:r w:rsidR="009C3FC9">
        <w:rPr>
          <w:rFonts w:ascii="Times New Roman" w:hAnsi="Times New Roman" w:cs="Times New Roman"/>
          <w:sz w:val="24"/>
          <w:szCs w:val="24"/>
        </w:rPr>
        <w:t xml:space="preserve"> </w:t>
      </w:r>
      <w:r w:rsidR="009C3FC9" w:rsidRPr="00A33BD4">
        <w:rPr>
          <w:rFonts w:ascii="Times New Roman" w:eastAsia="Times New Roman" w:hAnsi="Times New Roman" w:cs="Times New Roman"/>
          <w:sz w:val="24"/>
          <w:szCs w:val="24"/>
          <w:lang w:eastAsia="pt-BR"/>
        </w:rPr>
        <w:t>DA PENALIDADE PROCESSUAL</w:t>
      </w:r>
    </w:p>
    <w:p w14:paraId="1E6C0870" w14:textId="77777777" w:rsidR="009C3FC9" w:rsidRPr="00A33BD4" w:rsidRDefault="009C3FC9" w:rsidP="009C3FC9">
      <w:pPr>
        <w:spacing w:before="240" w:after="240" w:line="360" w:lineRule="auto"/>
        <w:ind w:firstLine="709"/>
        <w:jc w:val="both"/>
        <w:rPr>
          <w:rFonts w:ascii="Times New Roman" w:eastAsia="Times New Roman" w:hAnsi="Times New Roman" w:cs="Times New Roman"/>
          <w:sz w:val="24"/>
          <w:szCs w:val="24"/>
          <w:lang w:eastAsia="pt-BR"/>
        </w:rPr>
      </w:pPr>
      <w:r w:rsidRPr="00A33BD4">
        <w:rPr>
          <w:rFonts w:ascii="Times New Roman" w:eastAsia="Times New Roman" w:hAnsi="Times New Roman" w:cs="Times New Roman"/>
          <w:sz w:val="24"/>
          <w:szCs w:val="24"/>
          <w:lang w:eastAsia="pt-BR"/>
        </w:rPr>
        <w:t>Por fim, contrariamente ao argumentado pela parte embargada, o manejo do recurso em questão não ocorreu em excesso ao legítimo exercício das garantias processuais à ampla defesa e ao contraditório.</w:t>
      </w:r>
    </w:p>
    <w:p w14:paraId="318C7027" w14:textId="77777777" w:rsidR="009C3FC9" w:rsidRPr="00A33BD4" w:rsidRDefault="009C3FC9" w:rsidP="009C3FC9">
      <w:pPr>
        <w:spacing w:after="240" w:line="360" w:lineRule="auto"/>
        <w:ind w:firstLine="709"/>
        <w:jc w:val="both"/>
        <w:rPr>
          <w:rFonts w:ascii="Times New Roman" w:hAnsi="Times New Roman" w:cs="Times New Roman"/>
          <w:iCs/>
          <w:sz w:val="24"/>
          <w:szCs w:val="24"/>
        </w:rPr>
      </w:pPr>
      <w:r w:rsidRPr="00A33BD4">
        <w:rPr>
          <w:rFonts w:ascii="Times New Roman" w:hAnsi="Times New Roman" w:cs="Times New Roman"/>
          <w:iCs/>
          <w:sz w:val="24"/>
          <w:szCs w:val="24"/>
        </w:rPr>
        <w:t>Para caracterização da manifesta protelação, categoria instituída no artigo 1.026, § 2.º, do Código de Processo Civil, exige-se conduta dolosa da parte em procrastinar injustificadamente o procedimento.</w:t>
      </w:r>
    </w:p>
    <w:p w14:paraId="73B75C3C" w14:textId="77777777" w:rsidR="009C3FC9" w:rsidRPr="00A33BD4" w:rsidRDefault="009C3FC9" w:rsidP="009C3FC9">
      <w:pPr>
        <w:spacing w:after="240" w:line="360" w:lineRule="auto"/>
        <w:ind w:firstLine="709"/>
        <w:jc w:val="both"/>
        <w:rPr>
          <w:rFonts w:ascii="Times New Roman" w:hAnsi="Times New Roman" w:cs="Times New Roman"/>
          <w:iCs/>
          <w:sz w:val="24"/>
          <w:szCs w:val="24"/>
        </w:rPr>
      </w:pPr>
      <w:r w:rsidRPr="00A33BD4">
        <w:rPr>
          <w:rFonts w:ascii="Times New Roman" w:hAnsi="Times New Roman" w:cs="Times New Roman"/>
          <w:iCs/>
          <w:sz w:val="24"/>
          <w:szCs w:val="24"/>
        </w:rPr>
        <w:t>O exercício de legítimo direito à ampla defesa e ao contraditório, constitucionalmente previstos, não se subsome ao preceito primário da norma proibitiva.</w:t>
      </w:r>
    </w:p>
    <w:p w14:paraId="5C5A625B" w14:textId="77777777" w:rsidR="009C3FC9" w:rsidRPr="00A33BD4" w:rsidRDefault="009C3FC9" w:rsidP="009C3FC9">
      <w:pPr>
        <w:spacing w:after="240" w:line="360" w:lineRule="auto"/>
        <w:ind w:firstLine="709"/>
        <w:jc w:val="both"/>
        <w:rPr>
          <w:rFonts w:ascii="Times New Roman" w:hAnsi="Times New Roman" w:cs="Times New Roman"/>
          <w:iCs/>
          <w:sz w:val="24"/>
          <w:szCs w:val="24"/>
        </w:rPr>
      </w:pPr>
      <w:r w:rsidRPr="00A33BD4">
        <w:rPr>
          <w:rFonts w:ascii="Times New Roman" w:hAnsi="Times New Roman" w:cs="Times New Roman"/>
          <w:iCs/>
          <w:sz w:val="24"/>
          <w:szCs w:val="24"/>
        </w:rPr>
        <w:t>Neste sentido:</w:t>
      </w:r>
    </w:p>
    <w:p w14:paraId="127C20F1" w14:textId="77777777" w:rsidR="009C3FC9" w:rsidRPr="00A33BD4" w:rsidRDefault="009C3FC9" w:rsidP="009C3FC9">
      <w:pPr>
        <w:spacing w:after="240" w:line="360" w:lineRule="auto"/>
        <w:ind w:firstLine="709"/>
        <w:jc w:val="both"/>
        <w:rPr>
          <w:rFonts w:ascii="Times New Roman" w:hAnsi="Times New Roman" w:cs="Times New Roman"/>
          <w:iCs/>
          <w:sz w:val="24"/>
          <w:szCs w:val="24"/>
        </w:rPr>
      </w:pPr>
    </w:p>
    <w:p w14:paraId="3F0875E6" w14:textId="77777777" w:rsidR="009C3FC9" w:rsidRPr="00A33BD4" w:rsidRDefault="009C3FC9" w:rsidP="009C3FC9">
      <w:pPr>
        <w:spacing w:after="240" w:line="360" w:lineRule="auto"/>
        <w:ind w:left="2268"/>
        <w:jc w:val="both"/>
        <w:rPr>
          <w:rFonts w:ascii="Times New Roman" w:hAnsi="Times New Roman" w:cs="Times New Roman"/>
          <w:iCs/>
          <w:sz w:val="20"/>
          <w:szCs w:val="24"/>
        </w:rPr>
      </w:pPr>
      <w:r w:rsidRPr="00A33BD4">
        <w:rPr>
          <w:rFonts w:ascii="Times New Roman" w:hAnsi="Times New Roman" w:cs="Times New Roman"/>
          <w:iCs/>
          <w:sz w:val="20"/>
          <w:szCs w:val="24"/>
        </w:rPr>
        <w:t xml:space="preserve">CIVIL E PROCESSO CIVIL. AÇÃO DECLARATÓRIA DE INEXISTÊNCIA DE RELAÇÃO JURÍDICA E NULIDADE DE TÍTULOS DE CRÉDITO C/C COMPENSAÇÃO POR DANOS MORAIS. NEGATIVA DE PRESTAÇÃO JURISDICIONAL. AUSÊNCIA. VIOLAÇÃO DE DISPOSITIVO CONSTITUCIONAL E SÚMULA. DESCABIMENTO. PRÉ-QUESTIONAMENTO. AUSÊNCIA. SÚMULA 282/STF. FUNDAMENTO DO ACÓRDÃO NÃO IMPUGNADO. SÚMULA 283/STF. FUNDAMENTAÇÃO DEFICIENTE. SÚMULA 284/STF. LITIGÂNCIA DE MÁ-FÉ. CONDUTA DESLEAL NÃO CARACTERIZADA. PROTESTO INDEVIDO. DUPLICATAS EMITIDAS FRAUDULENTAMENTE. DANOS MORAIS. VALOR ARBITRADO. MAJORAÇÃO. SÚMULA 07/STJ. JUROS DE MORA E CORREÇÃO MONETÁRIA. TERMO INICIAL. SÚMULA 54/STJ. SÚMULA 362/STJ. [...] 6. O exercício legítimo do contraditório e da ampla defesa, com todos os meios e recursos a ela inerentes (art. 5º, </w:t>
      </w:r>
      <w:proofErr w:type="spellStart"/>
      <w:r w:rsidRPr="00A33BD4">
        <w:rPr>
          <w:rFonts w:ascii="Times New Roman" w:hAnsi="Times New Roman" w:cs="Times New Roman"/>
          <w:iCs/>
          <w:sz w:val="20"/>
          <w:szCs w:val="24"/>
        </w:rPr>
        <w:t>LV</w:t>
      </w:r>
      <w:proofErr w:type="spellEnd"/>
      <w:r w:rsidRPr="00A33BD4">
        <w:rPr>
          <w:rFonts w:ascii="Times New Roman" w:hAnsi="Times New Roman" w:cs="Times New Roman"/>
          <w:iCs/>
          <w:sz w:val="20"/>
          <w:szCs w:val="24"/>
        </w:rPr>
        <w:t>, da CF/88), não se caracteriza como litigância de má-fé, salvo se ficar comprovada a intenção da parte de obstruir o trâmite regular do processo (dolo), a configurar uma conduta desleal por abuso de direito. 7. Na espécie, não há qualquer referência no acórdão recorrido à eventual atuação desleal da recorrente, senão vinculada à improcedência da pretensão deduzida na cautelar incidental, circunstância que, frise-se, não constitui, por si mesma, resistência injustificada ao andamento do processo. [...] 12. Recursos especiais parcialmente conhecidos e providos em parte. (STJ. Terceira Turma. Relatora: Ministra Nancy Andrighi. REsp n. 1.423.942/SP. Data de julgamento: 26-9-2017. Data de publicação: 29-9-2017).</w:t>
      </w:r>
    </w:p>
    <w:p w14:paraId="429FC2CF" w14:textId="77777777" w:rsidR="009C3FC9" w:rsidRPr="00A33BD4" w:rsidRDefault="009C3FC9" w:rsidP="009C3FC9">
      <w:pPr>
        <w:spacing w:after="240" w:line="360" w:lineRule="auto"/>
        <w:ind w:firstLine="709"/>
        <w:jc w:val="both"/>
        <w:rPr>
          <w:rFonts w:ascii="Times New Roman" w:hAnsi="Times New Roman" w:cs="Times New Roman"/>
          <w:iCs/>
          <w:sz w:val="24"/>
          <w:szCs w:val="24"/>
          <w:highlight w:val="yellow"/>
        </w:rPr>
      </w:pPr>
    </w:p>
    <w:p w14:paraId="06015944" w14:textId="77777777" w:rsidR="009C3FC9" w:rsidRPr="00A33BD4" w:rsidRDefault="009C3FC9" w:rsidP="009C3FC9">
      <w:pPr>
        <w:spacing w:after="240" w:line="360" w:lineRule="auto"/>
        <w:ind w:firstLine="709"/>
        <w:jc w:val="both"/>
        <w:rPr>
          <w:rFonts w:ascii="Times New Roman" w:eastAsia="Times New Roman" w:hAnsi="Times New Roman" w:cs="Times New Roman"/>
          <w:sz w:val="24"/>
          <w:szCs w:val="24"/>
          <w:lang w:eastAsia="pt-BR"/>
        </w:rPr>
      </w:pPr>
      <w:r w:rsidRPr="00A33BD4">
        <w:rPr>
          <w:rFonts w:ascii="Times New Roman" w:hAnsi="Times New Roman" w:cs="Times New Roman"/>
          <w:iCs/>
          <w:sz w:val="24"/>
          <w:szCs w:val="24"/>
        </w:rPr>
        <w:t>Indefere-se, pois, a pretensão punitiva.</w:t>
      </w:r>
    </w:p>
    <w:p w14:paraId="678BEBA6" w14:textId="77777777" w:rsidR="003437D0" w:rsidRDefault="003437D0" w:rsidP="007E5EB1">
      <w:pPr>
        <w:spacing w:before="240" w:after="240" w:line="360" w:lineRule="auto"/>
        <w:ind w:firstLine="709"/>
        <w:jc w:val="both"/>
        <w:rPr>
          <w:rFonts w:ascii="Times New Roman" w:eastAsia="Times New Roman" w:hAnsi="Times New Roman" w:cs="Times New Roman"/>
          <w:sz w:val="24"/>
          <w:szCs w:val="24"/>
          <w:lang w:eastAsia="pt-BR"/>
        </w:rPr>
      </w:pPr>
    </w:p>
    <w:p w14:paraId="0FE7F861" w14:textId="7A6F7723"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II.</w:t>
      </w:r>
      <w:r>
        <w:rPr>
          <w:rFonts w:ascii="Times New Roman" w:eastAsia="Times New Roman" w:hAnsi="Times New Roman" w:cs="Times New Roman"/>
          <w:sz w:val="24"/>
          <w:szCs w:val="24"/>
          <w:lang w:eastAsia="pt-BR"/>
        </w:rPr>
        <w:t>I</w:t>
      </w:r>
      <w:r w:rsidRPr="007E5EB1">
        <w:rPr>
          <w:rFonts w:ascii="Times New Roman" w:eastAsia="Times New Roman" w:hAnsi="Times New Roman" w:cs="Times New Roman"/>
          <w:sz w:val="24"/>
          <w:szCs w:val="24"/>
          <w:lang w:eastAsia="pt-BR"/>
        </w:rPr>
        <w:t>V – DA CONCLUSÃO</w:t>
      </w:r>
    </w:p>
    <w:p w14:paraId="2C0B8BAA" w14:textId="6D07B302" w:rsid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 xml:space="preserve">Pela conjugação das premissas alinhavadas, a solução a ser adotada consiste em </w:t>
      </w:r>
      <w:r>
        <w:rPr>
          <w:rFonts w:ascii="Times New Roman" w:eastAsia="Times New Roman" w:hAnsi="Times New Roman" w:cs="Times New Roman"/>
          <w:sz w:val="24"/>
          <w:szCs w:val="24"/>
          <w:lang w:eastAsia="pt-BR"/>
        </w:rPr>
        <w:t>conhecer e dar provimento ao recurso</w:t>
      </w:r>
      <w:r w:rsidR="00453863">
        <w:rPr>
          <w:rFonts w:ascii="Times New Roman" w:eastAsia="Times New Roman" w:hAnsi="Times New Roman" w:cs="Times New Roman"/>
          <w:sz w:val="24"/>
          <w:szCs w:val="24"/>
          <w:lang w:eastAsia="pt-BR"/>
        </w:rPr>
        <w:t>.</w:t>
      </w:r>
    </w:p>
    <w:p w14:paraId="51306C64" w14:textId="3F96A22C" w:rsidR="007E5EB1" w:rsidRPr="007E5EB1" w:rsidRDefault="007E5EB1" w:rsidP="007E5EB1">
      <w:pPr>
        <w:spacing w:before="240" w:after="240" w:line="360" w:lineRule="auto"/>
        <w:ind w:firstLine="709"/>
        <w:jc w:val="both"/>
        <w:rPr>
          <w:rFonts w:ascii="Times New Roman" w:eastAsia="Times New Roman" w:hAnsi="Times New Roman" w:cs="Times New Roman"/>
          <w:sz w:val="24"/>
          <w:szCs w:val="24"/>
          <w:lang w:eastAsia="pt-BR"/>
        </w:rPr>
      </w:pPr>
      <w:r w:rsidRPr="007E5EB1">
        <w:rPr>
          <w:rFonts w:ascii="Times New Roman" w:eastAsia="Times New Roman" w:hAnsi="Times New Roman" w:cs="Times New Roman"/>
          <w:sz w:val="24"/>
          <w:szCs w:val="24"/>
          <w:lang w:eastAsia="pt-BR"/>
        </w:rPr>
        <w:t>É como voto.</w:t>
      </w:r>
    </w:p>
    <w:p w14:paraId="79A82B6F" w14:textId="77777777" w:rsidR="007E5EB1" w:rsidRDefault="007E5EB1" w:rsidP="00E71385">
      <w:pPr>
        <w:spacing w:before="240" w:after="240" w:line="360" w:lineRule="auto"/>
        <w:ind w:firstLine="709"/>
        <w:jc w:val="both"/>
        <w:rPr>
          <w:rFonts w:ascii="Times New Roman" w:eastAsia="Times New Roman" w:hAnsi="Times New Roman" w:cs="Times New Roman"/>
          <w:sz w:val="24"/>
          <w:szCs w:val="24"/>
          <w:lang w:eastAsia="pt-BR"/>
        </w:rPr>
      </w:pPr>
    </w:p>
    <w:p w14:paraId="72B5B889" w14:textId="6D70CA86" w:rsidR="003835C9" w:rsidRPr="002E4C4B" w:rsidRDefault="00FB27C5" w:rsidP="003F76F3">
      <w:pPr>
        <w:spacing w:before="240" w:after="240" w:line="360" w:lineRule="auto"/>
        <w:ind w:firstLine="709"/>
        <w:jc w:val="both"/>
        <w:rPr>
          <w:rFonts w:ascii="Times New Roman" w:eastAsia="Times New Roman" w:hAnsi="Times New Roman" w:cs="Times New Roman"/>
          <w:b/>
          <w:sz w:val="24"/>
          <w:szCs w:val="24"/>
          <w:lang w:eastAsia="pt-BR"/>
        </w:rPr>
      </w:pPr>
      <w:r w:rsidRPr="002E4C4B">
        <w:rPr>
          <w:rFonts w:ascii="Times New Roman" w:hAnsi="Times New Roman" w:cs="Times New Roman"/>
          <w:b/>
          <w:sz w:val="24"/>
          <w:szCs w:val="24"/>
        </w:rPr>
        <w:t xml:space="preserve">III </w:t>
      </w:r>
      <w:r w:rsidR="003F76F3" w:rsidRPr="002E4C4B">
        <w:rPr>
          <w:rFonts w:ascii="Times New Roman" w:hAnsi="Times New Roman" w:cs="Times New Roman"/>
          <w:b/>
          <w:sz w:val="24"/>
          <w:szCs w:val="24"/>
        </w:rPr>
        <w:t>–</w:t>
      </w:r>
      <w:r w:rsidRPr="002E4C4B">
        <w:rPr>
          <w:rFonts w:ascii="Times New Roman" w:hAnsi="Times New Roman" w:cs="Times New Roman"/>
          <w:b/>
          <w:sz w:val="24"/>
          <w:szCs w:val="24"/>
        </w:rPr>
        <w:t xml:space="preserve"> DECISÃO</w:t>
      </w:r>
    </w:p>
    <w:sectPr w:rsidR="003835C9" w:rsidRPr="002E4C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95005" w14:textId="77777777" w:rsidR="00D87F3C" w:rsidRDefault="00D87F3C" w:rsidP="00647C71">
      <w:pPr>
        <w:spacing w:after="0" w:line="240" w:lineRule="auto"/>
      </w:pPr>
      <w:r>
        <w:separator/>
      </w:r>
    </w:p>
  </w:endnote>
  <w:endnote w:type="continuationSeparator" w:id="0">
    <w:p w14:paraId="47BB7B80" w14:textId="77777777" w:rsidR="00D87F3C" w:rsidRDefault="00D87F3C"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5B10A" w14:textId="77777777" w:rsidR="00D87F3C" w:rsidRDefault="00D87F3C" w:rsidP="00647C71">
      <w:pPr>
        <w:spacing w:after="0" w:line="240" w:lineRule="auto"/>
      </w:pPr>
      <w:r>
        <w:separator/>
      </w:r>
    </w:p>
  </w:footnote>
  <w:footnote w:type="continuationSeparator" w:id="0">
    <w:p w14:paraId="542A372B" w14:textId="77777777" w:rsidR="00D87F3C" w:rsidRDefault="00D87F3C"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295214825">
    <w:abstractNumId w:val="1"/>
  </w:num>
  <w:num w:numId="2" w16cid:durableId="1809395550">
    <w:abstractNumId w:val="6"/>
  </w:num>
  <w:num w:numId="3" w16cid:durableId="1978492850">
    <w:abstractNumId w:val="5"/>
  </w:num>
  <w:num w:numId="4" w16cid:durableId="1890416001">
    <w:abstractNumId w:val="4"/>
  </w:num>
  <w:num w:numId="5" w16cid:durableId="1044672355">
    <w:abstractNumId w:val="3"/>
  </w:num>
  <w:num w:numId="6" w16cid:durableId="808397163">
    <w:abstractNumId w:val="0"/>
  </w:num>
  <w:num w:numId="7" w16cid:durableId="1224829788">
    <w:abstractNumId w:val="7"/>
  </w:num>
  <w:num w:numId="8" w16cid:durableId="1296644228">
    <w:abstractNumId w:val="8"/>
  </w:num>
  <w:num w:numId="9" w16cid:durableId="90123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3D00"/>
    <w:rsid w:val="00007C57"/>
    <w:rsid w:val="00010A60"/>
    <w:rsid w:val="00010D7D"/>
    <w:rsid w:val="00012871"/>
    <w:rsid w:val="000160BD"/>
    <w:rsid w:val="000167D1"/>
    <w:rsid w:val="00020043"/>
    <w:rsid w:val="000200F3"/>
    <w:rsid w:val="00022B72"/>
    <w:rsid w:val="00026881"/>
    <w:rsid w:val="000306E0"/>
    <w:rsid w:val="00031211"/>
    <w:rsid w:val="00032A45"/>
    <w:rsid w:val="000374DD"/>
    <w:rsid w:val="00037CAF"/>
    <w:rsid w:val="0004000E"/>
    <w:rsid w:val="00045A03"/>
    <w:rsid w:val="00046137"/>
    <w:rsid w:val="00051782"/>
    <w:rsid w:val="000536CB"/>
    <w:rsid w:val="00054451"/>
    <w:rsid w:val="000574CD"/>
    <w:rsid w:val="000578C0"/>
    <w:rsid w:val="0006301E"/>
    <w:rsid w:val="0006738E"/>
    <w:rsid w:val="00070921"/>
    <w:rsid w:val="00074A6B"/>
    <w:rsid w:val="000753E6"/>
    <w:rsid w:val="00075CD3"/>
    <w:rsid w:val="000771EB"/>
    <w:rsid w:val="00082633"/>
    <w:rsid w:val="0009029D"/>
    <w:rsid w:val="000A1580"/>
    <w:rsid w:val="000A1845"/>
    <w:rsid w:val="000A2939"/>
    <w:rsid w:val="000A46D4"/>
    <w:rsid w:val="000A50E5"/>
    <w:rsid w:val="000B0707"/>
    <w:rsid w:val="000B081D"/>
    <w:rsid w:val="000B0F0C"/>
    <w:rsid w:val="000B1A3F"/>
    <w:rsid w:val="000B354D"/>
    <w:rsid w:val="000B5F0E"/>
    <w:rsid w:val="000B6B2B"/>
    <w:rsid w:val="000C15F3"/>
    <w:rsid w:val="000C4101"/>
    <w:rsid w:val="000C4F21"/>
    <w:rsid w:val="000C6FB3"/>
    <w:rsid w:val="000D324F"/>
    <w:rsid w:val="000D49BF"/>
    <w:rsid w:val="000D5CD1"/>
    <w:rsid w:val="000D62A2"/>
    <w:rsid w:val="000E00B8"/>
    <w:rsid w:val="000E2F5C"/>
    <w:rsid w:val="000E3D0A"/>
    <w:rsid w:val="000E6E40"/>
    <w:rsid w:val="000F06C1"/>
    <w:rsid w:val="000F1C40"/>
    <w:rsid w:val="000F2C6A"/>
    <w:rsid w:val="00101E92"/>
    <w:rsid w:val="0012195B"/>
    <w:rsid w:val="0012372F"/>
    <w:rsid w:val="00126791"/>
    <w:rsid w:val="00126C21"/>
    <w:rsid w:val="001302DC"/>
    <w:rsid w:val="00136D95"/>
    <w:rsid w:val="001441FD"/>
    <w:rsid w:val="00144B56"/>
    <w:rsid w:val="001505AA"/>
    <w:rsid w:val="00151BE6"/>
    <w:rsid w:val="001539AF"/>
    <w:rsid w:val="00153CFF"/>
    <w:rsid w:val="00154D3D"/>
    <w:rsid w:val="00156C0C"/>
    <w:rsid w:val="0016094B"/>
    <w:rsid w:val="00160FA5"/>
    <w:rsid w:val="00166E6B"/>
    <w:rsid w:val="0018045A"/>
    <w:rsid w:val="00181DD2"/>
    <w:rsid w:val="00185B6E"/>
    <w:rsid w:val="00186B58"/>
    <w:rsid w:val="00187157"/>
    <w:rsid w:val="00190005"/>
    <w:rsid w:val="001911F4"/>
    <w:rsid w:val="00191D4B"/>
    <w:rsid w:val="001920B4"/>
    <w:rsid w:val="001A011D"/>
    <w:rsid w:val="001A29B1"/>
    <w:rsid w:val="001A468D"/>
    <w:rsid w:val="001A4CA7"/>
    <w:rsid w:val="001A632C"/>
    <w:rsid w:val="001B4800"/>
    <w:rsid w:val="001C239C"/>
    <w:rsid w:val="001C2611"/>
    <w:rsid w:val="001C317D"/>
    <w:rsid w:val="001C39D3"/>
    <w:rsid w:val="001D0BF0"/>
    <w:rsid w:val="001D13E2"/>
    <w:rsid w:val="001D5521"/>
    <w:rsid w:val="001E01CC"/>
    <w:rsid w:val="001E2D26"/>
    <w:rsid w:val="001E5BD5"/>
    <w:rsid w:val="001E61D7"/>
    <w:rsid w:val="001E626B"/>
    <w:rsid w:val="001F0BD9"/>
    <w:rsid w:val="001F26A9"/>
    <w:rsid w:val="001F4679"/>
    <w:rsid w:val="001F5639"/>
    <w:rsid w:val="001F62E9"/>
    <w:rsid w:val="001F6659"/>
    <w:rsid w:val="00201354"/>
    <w:rsid w:val="00210873"/>
    <w:rsid w:val="0021113B"/>
    <w:rsid w:val="0021140D"/>
    <w:rsid w:val="00211FD6"/>
    <w:rsid w:val="00212A6C"/>
    <w:rsid w:val="0021477B"/>
    <w:rsid w:val="00214D4B"/>
    <w:rsid w:val="00215E32"/>
    <w:rsid w:val="00222CD8"/>
    <w:rsid w:val="00223904"/>
    <w:rsid w:val="0022498C"/>
    <w:rsid w:val="00226F44"/>
    <w:rsid w:val="002275AF"/>
    <w:rsid w:val="0023019E"/>
    <w:rsid w:val="002372A2"/>
    <w:rsid w:val="002438A8"/>
    <w:rsid w:val="00250B16"/>
    <w:rsid w:val="00250CAB"/>
    <w:rsid w:val="002518C2"/>
    <w:rsid w:val="00251BE7"/>
    <w:rsid w:val="00260675"/>
    <w:rsid w:val="002665C0"/>
    <w:rsid w:val="002703E3"/>
    <w:rsid w:val="00271947"/>
    <w:rsid w:val="0027299B"/>
    <w:rsid w:val="00273C54"/>
    <w:rsid w:val="002752D1"/>
    <w:rsid w:val="002770B3"/>
    <w:rsid w:val="002856EA"/>
    <w:rsid w:val="00293E14"/>
    <w:rsid w:val="00294EBC"/>
    <w:rsid w:val="002A270B"/>
    <w:rsid w:val="002A4117"/>
    <w:rsid w:val="002A412C"/>
    <w:rsid w:val="002A7461"/>
    <w:rsid w:val="002A798A"/>
    <w:rsid w:val="002B370A"/>
    <w:rsid w:val="002B48B3"/>
    <w:rsid w:val="002C0F37"/>
    <w:rsid w:val="002C367C"/>
    <w:rsid w:val="002C62E9"/>
    <w:rsid w:val="002D03B9"/>
    <w:rsid w:val="002D2306"/>
    <w:rsid w:val="002D2AC8"/>
    <w:rsid w:val="002D4EB8"/>
    <w:rsid w:val="002D4FAD"/>
    <w:rsid w:val="002D651A"/>
    <w:rsid w:val="002E4187"/>
    <w:rsid w:val="002E41AA"/>
    <w:rsid w:val="002E433E"/>
    <w:rsid w:val="002E4C4B"/>
    <w:rsid w:val="002E64B7"/>
    <w:rsid w:val="002E7B89"/>
    <w:rsid w:val="002F0485"/>
    <w:rsid w:val="002F2DAD"/>
    <w:rsid w:val="002F35CF"/>
    <w:rsid w:val="002F37D9"/>
    <w:rsid w:val="002F52AF"/>
    <w:rsid w:val="002F78A8"/>
    <w:rsid w:val="00304E90"/>
    <w:rsid w:val="00305348"/>
    <w:rsid w:val="00305698"/>
    <w:rsid w:val="00310F68"/>
    <w:rsid w:val="0032286D"/>
    <w:rsid w:val="00323689"/>
    <w:rsid w:val="00326B5A"/>
    <w:rsid w:val="00327618"/>
    <w:rsid w:val="00331431"/>
    <w:rsid w:val="00332DED"/>
    <w:rsid w:val="00332E93"/>
    <w:rsid w:val="00334726"/>
    <w:rsid w:val="00337B87"/>
    <w:rsid w:val="003415A6"/>
    <w:rsid w:val="00341797"/>
    <w:rsid w:val="00343607"/>
    <w:rsid w:val="003437D0"/>
    <w:rsid w:val="00344252"/>
    <w:rsid w:val="00351EBD"/>
    <w:rsid w:val="00352D21"/>
    <w:rsid w:val="00352F11"/>
    <w:rsid w:val="00354D9B"/>
    <w:rsid w:val="0036114E"/>
    <w:rsid w:val="00361C7B"/>
    <w:rsid w:val="00364B3D"/>
    <w:rsid w:val="00365126"/>
    <w:rsid w:val="00365AAA"/>
    <w:rsid w:val="0036786F"/>
    <w:rsid w:val="00375DC5"/>
    <w:rsid w:val="00376120"/>
    <w:rsid w:val="00377569"/>
    <w:rsid w:val="00380F70"/>
    <w:rsid w:val="00382463"/>
    <w:rsid w:val="003835C9"/>
    <w:rsid w:val="003A3857"/>
    <w:rsid w:val="003A43F7"/>
    <w:rsid w:val="003B44F2"/>
    <w:rsid w:val="003B513B"/>
    <w:rsid w:val="003B5A83"/>
    <w:rsid w:val="003C7B87"/>
    <w:rsid w:val="003C7E9F"/>
    <w:rsid w:val="003D1E54"/>
    <w:rsid w:val="003E0B11"/>
    <w:rsid w:val="003E2450"/>
    <w:rsid w:val="003E4448"/>
    <w:rsid w:val="003E4A0D"/>
    <w:rsid w:val="003F0171"/>
    <w:rsid w:val="003F1A2D"/>
    <w:rsid w:val="003F517F"/>
    <w:rsid w:val="003F76F3"/>
    <w:rsid w:val="004030CB"/>
    <w:rsid w:val="00406983"/>
    <w:rsid w:val="00406AFA"/>
    <w:rsid w:val="00406FD8"/>
    <w:rsid w:val="00412E7C"/>
    <w:rsid w:val="00414571"/>
    <w:rsid w:val="00415A21"/>
    <w:rsid w:val="004178DE"/>
    <w:rsid w:val="00422D95"/>
    <w:rsid w:val="0042663A"/>
    <w:rsid w:val="0043454B"/>
    <w:rsid w:val="004350B9"/>
    <w:rsid w:val="0043568B"/>
    <w:rsid w:val="004365EC"/>
    <w:rsid w:val="004370D3"/>
    <w:rsid w:val="0043718D"/>
    <w:rsid w:val="00440350"/>
    <w:rsid w:val="00444E6D"/>
    <w:rsid w:val="00444E7B"/>
    <w:rsid w:val="004452B0"/>
    <w:rsid w:val="00447BC0"/>
    <w:rsid w:val="00453863"/>
    <w:rsid w:val="00453CA3"/>
    <w:rsid w:val="0046475D"/>
    <w:rsid w:val="0046793C"/>
    <w:rsid w:val="00471D31"/>
    <w:rsid w:val="00480812"/>
    <w:rsid w:val="00481F56"/>
    <w:rsid w:val="0048276C"/>
    <w:rsid w:val="0048354C"/>
    <w:rsid w:val="00483D1A"/>
    <w:rsid w:val="00483F6A"/>
    <w:rsid w:val="004848C3"/>
    <w:rsid w:val="00491A12"/>
    <w:rsid w:val="004922F3"/>
    <w:rsid w:val="00493D6A"/>
    <w:rsid w:val="00494FF8"/>
    <w:rsid w:val="00497A76"/>
    <w:rsid w:val="004A1054"/>
    <w:rsid w:val="004A155F"/>
    <w:rsid w:val="004A2186"/>
    <w:rsid w:val="004A7651"/>
    <w:rsid w:val="004B3805"/>
    <w:rsid w:val="004C0C0E"/>
    <w:rsid w:val="004C0DB6"/>
    <w:rsid w:val="004C3883"/>
    <w:rsid w:val="004C5BD8"/>
    <w:rsid w:val="004C6221"/>
    <w:rsid w:val="004C63D5"/>
    <w:rsid w:val="004C6EFE"/>
    <w:rsid w:val="004D3620"/>
    <w:rsid w:val="004D7A88"/>
    <w:rsid w:val="004E148A"/>
    <w:rsid w:val="004E1BC4"/>
    <w:rsid w:val="004E3311"/>
    <w:rsid w:val="004E388C"/>
    <w:rsid w:val="004E4803"/>
    <w:rsid w:val="004E5661"/>
    <w:rsid w:val="004F0B40"/>
    <w:rsid w:val="004F1087"/>
    <w:rsid w:val="004F3F82"/>
    <w:rsid w:val="004F4AFE"/>
    <w:rsid w:val="005028C4"/>
    <w:rsid w:val="00502B69"/>
    <w:rsid w:val="005071BC"/>
    <w:rsid w:val="00515AF4"/>
    <w:rsid w:val="005208DF"/>
    <w:rsid w:val="005215A8"/>
    <w:rsid w:val="00527558"/>
    <w:rsid w:val="00527F2B"/>
    <w:rsid w:val="005312AE"/>
    <w:rsid w:val="00531EC3"/>
    <w:rsid w:val="005336F8"/>
    <w:rsid w:val="0053637D"/>
    <w:rsid w:val="00537320"/>
    <w:rsid w:val="00540C62"/>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A15C3"/>
    <w:rsid w:val="005A35C1"/>
    <w:rsid w:val="005B767D"/>
    <w:rsid w:val="005C4F6A"/>
    <w:rsid w:val="005D1A25"/>
    <w:rsid w:val="005D255C"/>
    <w:rsid w:val="005D3C95"/>
    <w:rsid w:val="005D4C96"/>
    <w:rsid w:val="005D737F"/>
    <w:rsid w:val="005E0749"/>
    <w:rsid w:val="005E09DC"/>
    <w:rsid w:val="005E2A5E"/>
    <w:rsid w:val="005E3E78"/>
    <w:rsid w:val="005E5598"/>
    <w:rsid w:val="005F0055"/>
    <w:rsid w:val="005F61A6"/>
    <w:rsid w:val="005F6B9D"/>
    <w:rsid w:val="006005E6"/>
    <w:rsid w:val="00600D9B"/>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18BB"/>
    <w:rsid w:val="00642926"/>
    <w:rsid w:val="006430E0"/>
    <w:rsid w:val="00644AD4"/>
    <w:rsid w:val="00645955"/>
    <w:rsid w:val="00646399"/>
    <w:rsid w:val="00647C71"/>
    <w:rsid w:val="00650B35"/>
    <w:rsid w:val="00651518"/>
    <w:rsid w:val="00661187"/>
    <w:rsid w:val="00666666"/>
    <w:rsid w:val="0066719E"/>
    <w:rsid w:val="00667279"/>
    <w:rsid w:val="006675EA"/>
    <w:rsid w:val="006744B1"/>
    <w:rsid w:val="00675425"/>
    <w:rsid w:val="00680312"/>
    <w:rsid w:val="00684A0B"/>
    <w:rsid w:val="00684EE9"/>
    <w:rsid w:val="00687C34"/>
    <w:rsid w:val="00695951"/>
    <w:rsid w:val="00696E90"/>
    <w:rsid w:val="00697096"/>
    <w:rsid w:val="006976FF"/>
    <w:rsid w:val="006A0AB5"/>
    <w:rsid w:val="006A1063"/>
    <w:rsid w:val="006A3DA0"/>
    <w:rsid w:val="006A7E71"/>
    <w:rsid w:val="006B640D"/>
    <w:rsid w:val="006B7A87"/>
    <w:rsid w:val="006C20FD"/>
    <w:rsid w:val="006C3524"/>
    <w:rsid w:val="006D12EE"/>
    <w:rsid w:val="006D157D"/>
    <w:rsid w:val="006D3611"/>
    <w:rsid w:val="006D6267"/>
    <w:rsid w:val="006E0790"/>
    <w:rsid w:val="006E0A2B"/>
    <w:rsid w:val="006E2A57"/>
    <w:rsid w:val="006E3795"/>
    <w:rsid w:val="006E495C"/>
    <w:rsid w:val="006E7C75"/>
    <w:rsid w:val="006F0765"/>
    <w:rsid w:val="006F0E6E"/>
    <w:rsid w:val="006F2E12"/>
    <w:rsid w:val="006F506E"/>
    <w:rsid w:val="006F602A"/>
    <w:rsid w:val="00707836"/>
    <w:rsid w:val="00711A32"/>
    <w:rsid w:val="0071296A"/>
    <w:rsid w:val="00714712"/>
    <w:rsid w:val="00716788"/>
    <w:rsid w:val="007167E9"/>
    <w:rsid w:val="00721BB1"/>
    <w:rsid w:val="00731D9C"/>
    <w:rsid w:val="00733B04"/>
    <w:rsid w:val="0073594B"/>
    <w:rsid w:val="00737EAA"/>
    <w:rsid w:val="00742C7C"/>
    <w:rsid w:val="00746866"/>
    <w:rsid w:val="00747416"/>
    <w:rsid w:val="00750F91"/>
    <w:rsid w:val="0075231D"/>
    <w:rsid w:val="00754942"/>
    <w:rsid w:val="00754F02"/>
    <w:rsid w:val="00757A34"/>
    <w:rsid w:val="007600A0"/>
    <w:rsid w:val="00762104"/>
    <w:rsid w:val="00763A34"/>
    <w:rsid w:val="00763EFC"/>
    <w:rsid w:val="007641DC"/>
    <w:rsid w:val="00767E9A"/>
    <w:rsid w:val="00770540"/>
    <w:rsid w:val="007723A9"/>
    <w:rsid w:val="00772D99"/>
    <w:rsid w:val="00773174"/>
    <w:rsid w:val="00775668"/>
    <w:rsid w:val="00775A3B"/>
    <w:rsid w:val="00775B86"/>
    <w:rsid w:val="007775DF"/>
    <w:rsid w:val="007839E4"/>
    <w:rsid w:val="007857DD"/>
    <w:rsid w:val="00786FD9"/>
    <w:rsid w:val="00787E81"/>
    <w:rsid w:val="0079002C"/>
    <w:rsid w:val="007901E9"/>
    <w:rsid w:val="00790531"/>
    <w:rsid w:val="00794062"/>
    <w:rsid w:val="00794F4C"/>
    <w:rsid w:val="007958D6"/>
    <w:rsid w:val="007974A7"/>
    <w:rsid w:val="00797963"/>
    <w:rsid w:val="00797E63"/>
    <w:rsid w:val="007A2BB1"/>
    <w:rsid w:val="007A6999"/>
    <w:rsid w:val="007A72A2"/>
    <w:rsid w:val="007B44ED"/>
    <w:rsid w:val="007B463B"/>
    <w:rsid w:val="007B696B"/>
    <w:rsid w:val="007C1F7F"/>
    <w:rsid w:val="007C263E"/>
    <w:rsid w:val="007C3C5D"/>
    <w:rsid w:val="007C50B3"/>
    <w:rsid w:val="007C7CFA"/>
    <w:rsid w:val="007C7DEF"/>
    <w:rsid w:val="007D0408"/>
    <w:rsid w:val="007D0D16"/>
    <w:rsid w:val="007D17FF"/>
    <w:rsid w:val="007D3FED"/>
    <w:rsid w:val="007D59A6"/>
    <w:rsid w:val="007D706F"/>
    <w:rsid w:val="007D713E"/>
    <w:rsid w:val="007E00E5"/>
    <w:rsid w:val="007E3761"/>
    <w:rsid w:val="007E4AEF"/>
    <w:rsid w:val="007E5EB1"/>
    <w:rsid w:val="007E61B2"/>
    <w:rsid w:val="007F310A"/>
    <w:rsid w:val="007F6A74"/>
    <w:rsid w:val="007F6C8D"/>
    <w:rsid w:val="008008BD"/>
    <w:rsid w:val="00801149"/>
    <w:rsid w:val="00803B89"/>
    <w:rsid w:val="00815573"/>
    <w:rsid w:val="0082036F"/>
    <w:rsid w:val="008205C3"/>
    <w:rsid w:val="00821DB8"/>
    <w:rsid w:val="008253FD"/>
    <w:rsid w:val="0082604B"/>
    <w:rsid w:val="0083227E"/>
    <w:rsid w:val="0083446D"/>
    <w:rsid w:val="00843609"/>
    <w:rsid w:val="0084373C"/>
    <w:rsid w:val="00846227"/>
    <w:rsid w:val="0085367E"/>
    <w:rsid w:val="00854F1E"/>
    <w:rsid w:val="00855843"/>
    <w:rsid w:val="00862931"/>
    <w:rsid w:val="00862ADB"/>
    <w:rsid w:val="00872692"/>
    <w:rsid w:val="00873D50"/>
    <w:rsid w:val="00875D56"/>
    <w:rsid w:val="00877694"/>
    <w:rsid w:val="00882E77"/>
    <w:rsid w:val="00883026"/>
    <w:rsid w:val="008833EA"/>
    <w:rsid w:val="008857A8"/>
    <w:rsid w:val="00885AA7"/>
    <w:rsid w:val="0089026E"/>
    <w:rsid w:val="008910E1"/>
    <w:rsid w:val="00892408"/>
    <w:rsid w:val="0089321B"/>
    <w:rsid w:val="00894F5B"/>
    <w:rsid w:val="00895EF2"/>
    <w:rsid w:val="00895FF5"/>
    <w:rsid w:val="008A2F16"/>
    <w:rsid w:val="008A363C"/>
    <w:rsid w:val="008B2124"/>
    <w:rsid w:val="008B57C8"/>
    <w:rsid w:val="008C2594"/>
    <w:rsid w:val="008D0E03"/>
    <w:rsid w:val="008D21E1"/>
    <w:rsid w:val="008E30EE"/>
    <w:rsid w:val="008E6ECB"/>
    <w:rsid w:val="008E7385"/>
    <w:rsid w:val="008E7B18"/>
    <w:rsid w:val="008F791B"/>
    <w:rsid w:val="009011B4"/>
    <w:rsid w:val="0090166F"/>
    <w:rsid w:val="009115F7"/>
    <w:rsid w:val="0091352F"/>
    <w:rsid w:val="00916955"/>
    <w:rsid w:val="00920F60"/>
    <w:rsid w:val="0092399A"/>
    <w:rsid w:val="00927572"/>
    <w:rsid w:val="00934110"/>
    <w:rsid w:val="009377B3"/>
    <w:rsid w:val="00941715"/>
    <w:rsid w:val="00944BFD"/>
    <w:rsid w:val="009518A8"/>
    <w:rsid w:val="0095396D"/>
    <w:rsid w:val="00953A10"/>
    <w:rsid w:val="00956B72"/>
    <w:rsid w:val="00960A02"/>
    <w:rsid w:val="00966D45"/>
    <w:rsid w:val="009814B2"/>
    <w:rsid w:val="00987CDE"/>
    <w:rsid w:val="0099134F"/>
    <w:rsid w:val="00993B58"/>
    <w:rsid w:val="00996120"/>
    <w:rsid w:val="009A0648"/>
    <w:rsid w:val="009A11A0"/>
    <w:rsid w:val="009A14FE"/>
    <w:rsid w:val="009A36E9"/>
    <w:rsid w:val="009B0B3A"/>
    <w:rsid w:val="009B0C6D"/>
    <w:rsid w:val="009B216A"/>
    <w:rsid w:val="009B2960"/>
    <w:rsid w:val="009B297F"/>
    <w:rsid w:val="009B5894"/>
    <w:rsid w:val="009B6D87"/>
    <w:rsid w:val="009C1118"/>
    <w:rsid w:val="009C3FC9"/>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2291"/>
    <w:rsid w:val="00A1339F"/>
    <w:rsid w:val="00A233AA"/>
    <w:rsid w:val="00A233E4"/>
    <w:rsid w:val="00A2792B"/>
    <w:rsid w:val="00A35175"/>
    <w:rsid w:val="00A512A6"/>
    <w:rsid w:val="00A5532D"/>
    <w:rsid w:val="00A559CE"/>
    <w:rsid w:val="00A6119C"/>
    <w:rsid w:val="00A61A5C"/>
    <w:rsid w:val="00A61BEE"/>
    <w:rsid w:val="00A730B6"/>
    <w:rsid w:val="00A8064C"/>
    <w:rsid w:val="00A813AA"/>
    <w:rsid w:val="00A82B31"/>
    <w:rsid w:val="00A8725B"/>
    <w:rsid w:val="00A91602"/>
    <w:rsid w:val="00A97133"/>
    <w:rsid w:val="00AA12F7"/>
    <w:rsid w:val="00AC6FE0"/>
    <w:rsid w:val="00AC7F38"/>
    <w:rsid w:val="00AD2EB3"/>
    <w:rsid w:val="00AE125F"/>
    <w:rsid w:val="00AE29C5"/>
    <w:rsid w:val="00AE36A9"/>
    <w:rsid w:val="00AE4473"/>
    <w:rsid w:val="00AE4AB6"/>
    <w:rsid w:val="00AF1FC0"/>
    <w:rsid w:val="00AF4457"/>
    <w:rsid w:val="00AF58A2"/>
    <w:rsid w:val="00AF5D83"/>
    <w:rsid w:val="00B0146A"/>
    <w:rsid w:val="00B02B99"/>
    <w:rsid w:val="00B04D8D"/>
    <w:rsid w:val="00B06674"/>
    <w:rsid w:val="00B074EB"/>
    <w:rsid w:val="00B1115E"/>
    <w:rsid w:val="00B11D12"/>
    <w:rsid w:val="00B16396"/>
    <w:rsid w:val="00B20524"/>
    <w:rsid w:val="00B206C0"/>
    <w:rsid w:val="00B22B59"/>
    <w:rsid w:val="00B22EF2"/>
    <w:rsid w:val="00B30D60"/>
    <w:rsid w:val="00B3324A"/>
    <w:rsid w:val="00B33CB6"/>
    <w:rsid w:val="00B34A84"/>
    <w:rsid w:val="00B400E7"/>
    <w:rsid w:val="00B40424"/>
    <w:rsid w:val="00B41453"/>
    <w:rsid w:val="00B46640"/>
    <w:rsid w:val="00B46AF3"/>
    <w:rsid w:val="00B4759A"/>
    <w:rsid w:val="00B54294"/>
    <w:rsid w:val="00B55F52"/>
    <w:rsid w:val="00B638CE"/>
    <w:rsid w:val="00B6675D"/>
    <w:rsid w:val="00B70EAC"/>
    <w:rsid w:val="00B72930"/>
    <w:rsid w:val="00B735CF"/>
    <w:rsid w:val="00B73C69"/>
    <w:rsid w:val="00B7653B"/>
    <w:rsid w:val="00B81947"/>
    <w:rsid w:val="00B83B63"/>
    <w:rsid w:val="00B90614"/>
    <w:rsid w:val="00B934AD"/>
    <w:rsid w:val="00B94191"/>
    <w:rsid w:val="00B94949"/>
    <w:rsid w:val="00BA2541"/>
    <w:rsid w:val="00BA2BD9"/>
    <w:rsid w:val="00BA3331"/>
    <w:rsid w:val="00BA48FA"/>
    <w:rsid w:val="00BA5626"/>
    <w:rsid w:val="00BA657A"/>
    <w:rsid w:val="00BA65BC"/>
    <w:rsid w:val="00BA71B0"/>
    <w:rsid w:val="00BA7A8F"/>
    <w:rsid w:val="00BB300F"/>
    <w:rsid w:val="00BB3AB5"/>
    <w:rsid w:val="00BC04E6"/>
    <w:rsid w:val="00BC4ABE"/>
    <w:rsid w:val="00BC5C92"/>
    <w:rsid w:val="00BD302E"/>
    <w:rsid w:val="00BD684A"/>
    <w:rsid w:val="00BF033D"/>
    <w:rsid w:val="00BF7818"/>
    <w:rsid w:val="00C007C7"/>
    <w:rsid w:val="00C02481"/>
    <w:rsid w:val="00C028AD"/>
    <w:rsid w:val="00C029A5"/>
    <w:rsid w:val="00C0763E"/>
    <w:rsid w:val="00C112E3"/>
    <w:rsid w:val="00C15E8B"/>
    <w:rsid w:val="00C173E7"/>
    <w:rsid w:val="00C21421"/>
    <w:rsid w:val="00C306F2"/>
    <w:rsid w:val="00C311EE"/>
    <w:rsid w:val="00C31E33"/>
    <w:rsid w:val="00C3291B"/>
    <w:rsid w:val="00C3476D"/>
    <w:rsid w:val="00C41024"/>
    <w:rsid w:val="00C54689"/>
    <w:rsid w:val="00C54FEF"/>
    <w:rsid w:val="00C625AB"/>
    <w:rsid w:val="00C64FA8"/>
    <w:rsid w:val="00C727D6"/>
    <w:rsid w:val="00C74795"/>
    <w:rsid w:val="00C758D5"/>
    <w:rsid w:val="00C764F8"/>
    <w:rsid w:val="00C7769A"/>
    <w:rsid w:val="00C85038"/>
    <w:rsid w:val="00C8697E"/>
    <w:rsid w:val="00C86FAB"/>
    <w:rsid w:val="00C8735C"/>
    <w:rsid w:val="00C8769D"/>
    <w:rsid w:val="00C92849"/>
    <w:rsid w:val="00C95F14"/>
    <w:rsid w:val="00C97D7A"/>
    <w:rsid w:val="00CA57DF"/>
    <w:rsid w:val="00CB0D85"/>
    <w:rsid w:val="00CB5438"/>
    <w:rsid w:val="00CB7067"/>
    <w:rsid w:val="00CC2F26"/>
    <w:rsid w:val="00CC4098"/>
    <w:rsid w:val="00CC7C6C"/>
    <w:rsid w:val="00CD2FC4"/>
    <w:rsid w:val="00CD5654"/>
    <w:rsid w:val="00CE0AD9"/>
    <w:rsid w:val="00CE54B2"/>
    <w:rsid w:val="00CF18A5"/>
    <w:rsid w:val="00CF5D05"/>
    <w:rsid w:val="00D034E0"/>
    <w:rsid w:val="00D04FB0"/>
    <w:rsid w:val="00D073AA"/>
    <w:rsid w:val="00D15AC6"/>
    <w:rsid w:val="00D20344"/>
    <w:rsid w:val="00D20BDA"/>
    <w:rsid w:val="00D24947"/>
    <w:rsid w:val="00D25D9A"/>
    <w:rsid w:val="00D25F6B"/>
    <w:rsid w:val="00D27A9A"/>
    <w:rsid w:val="00D30244"/>
    <w:rsid w:val="00D317F9"/>
    <w:rsid w:val="00D3271F"/>
    <w:rsid w:val="00D363DD"/>
    <w:rsid w:val="00D40F96"/>
    <w:rsid w:val="00D41A1B"/>
    <w:rsid w:val="00D41A55"/>
    <w:rsid w:val="00D42387"/>
    <w:rsid w:val="00D43548"/>
    <w:rsid w:val="00D44EA3"/>
    <w:rsid w:val="00D47C54"/>
    <w:rsid w:val="00D51523"/>
    <w:rsid w:val="00D523B2"/>
    <w:rsid w:val="00D62B7D"/>
    <w:rsid w:val="00D741E5"/>
    <w:rsid w:val="00D74F23"/>
    <w:rsid w:val="00D753D8"/>
    <w:rsid w:val="00D810F5"/>
    <w:rsid w:val="00D814D3"/>
    <w:rsid w:val="00D8742E"/>
    <w:rsid w:val="00D87F3C"/>
    <w:rsid w:val="00DA0577"/>
    <w:rsid w:val="00DA4BD2"/>
    <w:rsid w:val="00DA5BFF"/>
    <w:rsid w:val="00DA60E3"/>
    <w:rsid w:val="00DA68FC"/>
    <w:rsid w:val="00DA6FF8"/>
    <w:rsid w:val="00DB7980"/>
    <w:rsid w:val="00DC0E99"/>
    <w:rsid w:val="00DC6E53"/>
    <w:rsid w:val="00DC74E2"/>
    <w:rsid w:val="00DD2AE3"/>
    <w:rsid w:val="00DD43DD"/>
    <w:rsid w:val="00DE0043"/>
    <w:rsid w:val="00DE0ADC"/>
    <w:rsid w:val="00DE1212"/>
    <w:rsid w:val="00DE2739"/>
    <w:rsid w:val="00DF21AA"/>
    <w:rsid w:val="00DF2733"/>
    <w:rsid w:val="00DF4F7C"/>
    <w:rsid w:val="00DF5C71"/>
    <w:rsid w:val="00DF5FEB"/>
    <w:rsid w:val="00E04001"/>
    <w:rsid w:val="00E109CB"/>
    <w:rsid w:val="00E13163"/>
    <w:rsid w:val="00E17110"/>
    <w:rsid w:val="00E21F0E"/>
    <w:rsid w:val="00E236B0"/>
    <w:rsid w:val="00E260E2"/>
    <w:rsid w:val="00E30AF2"/>
    <w:rsid w:val="00E32EC6"/>
    <w:rsid w:val="00E33AEF"/>
    <w:rsid w:val="00E40C65"/>
    <w:rsid w:val="00E41DC6"/>
    <w:rsid w:val="00E4497C"/>
    <w:rsid w:val="00E46924"/>
    <w:rsid w:val="00E46F5F"/>
    <w:rsid w:val="00E544D7"/>
    <w:rsid w:val="00E61DDD"/>
    <w:rsid w:val="00E6695D"/>
    <w:rsid w:val="00E67C68"/>
    <w:rsid w:val="00E70EA8"/>
    <w:rsid w:val="00E71385"/>
    <w:rsid w:val="00E728F6"/>
    <w:rsid w:val="00E72A00"/>
    <w:rsid w:val="00E73437"/>
    <w:rsid w:val="00E747A8"/>
    <w:rsid w:val="00E74DCB"/>
    <w:rsid w:val="00E80104"/>
    <w:rsid w:val="00E80A67"/>
    <w:rsid w:val="00E8589C"/>
    <w:rsid w:val="00E85AD6"/>
    <w:rsid w:val="00E86068"/>
    <w:rsid w:val="00E86E75"/>
    <w:rsid w:val="00E92164"/>
    <w:rsid w:val="00EA20CD"/>
    <w:rsid w:val="00EA2D26"/>
    <w:rsid w:val="00EA3061"/>
    <w:rsid w:val="00EA4C29"/>
    <w:rsid w:val="00EA4F00"/>
    <w:rsid w:val="00EB10E5"/>
    <w:rsid w:val="00EB2469"/>
    <w:rsid w:val="00EB4393"/>
    <w:rsid w:val="00EC08E0"/>
    <w:rsid w:val="00EC2C3C"/>
    <w:rsid w:val="00ED366A"/>
    <w:rsid w:val="00ED3EC0"/>
    <w:rsid w:val="00ED3ED7"/>
    <w:rsid w:val="00ED47AD"/>
    <w:rsid w:val="00ED62EB"/>
    <w:rsid w:val="00ED65FE"/>
    <w:rsid w:val="00ED725B"/>
    <w:rsid w:val="00EE5184"/>
    <w:rsid w:val="00F008F7"/>
    <w:rsid w:val="00F010CE"/>
    <w:rsid w:val="00F017B0"/>
    <w:rsid w:val="00F0477B"/>
    <w:rsid w:val="00F1798B"/>
    <w:rsid w:val="00F205BE"/>
    <w:rsid w:val="00F2142B"/>
    <w:rsid w:val="00F21F1A"/>
    <w:rsid w:val="00F26895"/>
    <w:rsid w:val="00F324B9"/>
    <w:rsid w:val="00F3290A"/>
    <w:rsid w:val="00F3291E"/>
    <w:rsid w:val="00F355C7"/>
    <w:rsid w:val="00F4269A"/>
    <w:rsid w:val="00F435D0"/>
    <w:rsid w:val="00F4476F"/>
    <w:rsid w:val="00F46D67"/>
    <w:rsid w:val="00F50730"/>
    <w:rsid w:val="00F5102A"/>
    <w:rsid w:val="00F56BB2"/>
    <w:rsid w:val="00F60064"/>
    <w:rsid w:val="00F60AB3"/>
    <w:rsid w:val="00F65C7F"/>
    <w:rsid w:val="00F718E9"/>
    <w:rsid w:val="00F77DED"/>
    <w:rsid w:val="00F82727"/>
    <w:rsid w:val="00F90C5E"/>
    <w:rsid w:val="00F933D7"/>
    <w:rsid w:val="00F94657"/>
    <w:rsid w:val="00F955E5"/>
    <w:rsid w:val="00F96242"/>
    <w:rsid w:val="00FA0193"/>
    <w:rsid w:val="00FA110F"/>
    <w:rsid w:val="00FB1209"/>
    <w:rsid w:val="00FB27C5"/>
    <w:rsid w:val="00FB3400"/>
    <w:rsid w:val="00FB4645"/>
    <w:rsid w:val="00FB646C"/>
    <w:rsid w:val="00FB7312"/>
    <w:rsid w:val="00FC4A1F"/>
    <w:rsid w:val="00FC4AFB"/>
    <w:rsid w:val="00FC6E14"/>
    <w:rsid w:val="00FD06F7"/>
    <w:rsid w:val="00FD1CB4"/>
    <w:rsid w:val="00FD2AF0"/>
    <w:rsid w:val="00FD33DF"/>
    <w:rsid w:val="00FD39B1"/>
    <w:rsid w:val="00FD4C3E"/>
    <w:rsid w:val="00FD5E88"/>
    <w:rsid w:val="00FD6030"/>
    <w:rsid w:val="00FD7BDF"/>
    <w:rsid w:val="00FE0D7F"/>
    <w:rsid w:val="00FE0FE8"/>
    <w:rsid w:val="00FE36A9"/>
    <w:rsid w:val="00FE5CF9"/>
    <w:rsid w:val="00FE5FF3"/>
    <w:rsid w:val="00FF1230"/>
    <w:rsid w:val="00FF4329"/>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 w:type="paragraph" w:styleId="Reviso">
    <w:name w:val="Revision"/>
    <w:hidden/>
    <w:uiPriority w:val="99"/>
    <w:semiHidden/>
    <w:rsid w:val="003835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966667649">
      <w:bodyDiv w:val="1"/>
      <w:marLeft w:val="0"/>
      <w:marRight w:val="0"/>
      <w:marTop w:val="0"/>
      <w:marBottom w:val="0"/>
      <w:divBdr>
        <w:top w:val="none" w:sz="0" w:space="0" w:color="auto"/>
        <w:left w:val="none" w:sz="0" w:space="0" w:color="auto"/>
        <w:bottom w:val="none" w:sz="0" w:space="0" w:color="auto"/>
        <w:right w:val="none" w:sz="0" w:space="0" w:color="auto"/>
      </w:divBdr>
      <w:divsChild>
        <w:div w:id="561256173">
          <w:marLeft w:val="0"/>
          <w:marRight w:val="0"/>
          <w:marTop w:val="0"/>
          <w:marBottom w:val="0"/>
          <w:divBdr>
            <w:top w:val="none" w:sz="0" w:space="0" w:color="auto"/>
            <w:left w:val="none" w:sz="0" w:space="0" w:color="auto"/>
            <w:bottom w:val="none" w:sz="0" w:space="0" w:color="auto"/>
            <w:right w:val="none" w:sz="0" w:space="0" w:color="auto"/>
          </w:divBdr>
          <w:divsChild>
            <w:div w:id="81606774">
              <w:marLeft w:val="0"/>
              <w:marRight w:val="0"/>
              <w:marTop w:val="0"/>
              <w:marBottom w:val="0"/>
              <w:divBdr>
                <w:top w:val="none" w:sz="0" w:space="0" w:color="auto"/>
                <w:left w:val="none" w:sz="0" w:space="0" w:color="auto"/>
                <w:bottom w:val="none" w:sz="0" w:space="0" w:color="auto"/>
                <w:right w:val="none" w:sz="0" w:space="0" w:color="auto"/>
              </w:divBdr>
            </w:div>
          </w:divsChild>
        </w:div>
        <w:div w:id="1043602165">
          <w:marLeft w:val="0"/>
          <w:marRight w:val="0"/>
          <w:marTop w:val="0"/>
          <w:marBottom w:val="0"/>
          <w:divBdr>
            <w:top w:val="none" w:sz="0" w:space="0" w:color="auto"/>
            <w:left w:val="none" w:sz="0" w:space="0" w:color="auto"/>
            <w:bottom w:val="none" w:sz="0" w:space="0" w:color="auto"/>
            <w:right w:val="none" w:sz="0" w:space="0" w:color="auto"/>
          </w:divBdr>
          <w:divsChild>
            <w:div w:id="1846936585">
              <w:marLeft w:val="0"/>
              <w:marRight w:val="0"/>
              <w:marTop w:val="0"/>
              <w:marBottom w:val="0"/>
              <w:divBdr>
                <w:top w:val="none" w:sz="0" w:space="0" w:color="auto"/>
                <w:left w:val="none" w:sz="0" w:space="0" w:color="auto"/>
                <w:bottom w:val="none" w:sz="0" w:space="0" w:color="auto"/>
                <w:right w:val="none" w:sz="0" w:space="0" w:color="auto"/>
              </w:divBdr>
              <w:divsChild>
                <w:div w:id="157155648">
                  <w:marLeft w:val="0"/>
                  <w:marRight w:val="0"/>
                  <w:marTop w:val="0"/>
                  <w:marBottom w:val="0"/>
                  <w:divBdr>
                    <w:top w:val="none" w:sz="0" w:space="0" w:color="auto"/>
                    <w:left w:val="none" w:sz="0" w:space="0" w:color="auto"/>
                    <w:bottom w:val="none" w:sz="0" w:space="0" w:color="auto"/>
                    <w:right w:val="none" w:sz="0" w:space="0" w:color="auto"/>
                  </w:divBdr>
                  <w:divsChild>
                    <w:div w:id="489450143">
                      <w:marLeft w:val="0"/>
                      <w:marRight w:val="0"/>
                      <w:marTop w:val="0"/>
                      <w:marBottom w:val="0"/>
                      <w:divBdr>
                        <w:top w:val="none" w:sz="0" w:space="0" w:color="auto"/>
                        <w:left w:val="none" w:sz="0" w:space="0" w:color="auto"/>
                        <w:bottom w:val="none" w:sz="0" w:space="0" w:color="auto"/>
                        <w:right w:val="none" w:sz="0" w:space="0" w:color="auto"/>
                      </w:divBdr>
                      <w:divsChild>
                        <w:div w:id="5459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2346">
              <w:marLeft w:val="0"/>
              <w:marRight w:val="0"/>
              <w:marTop w:val="0"/>
              <w:marBottom w:val="0"/>
              <w:divBdr>
                <w:top w:val="none" w:sz="0" w:space="0" w:color="auto"/>
                <w:left w:val="none" w:sz="0" w:space="0" w:color="auto"/>
                <w:bottom w:val="none" w:sz="0" w:space="0" w:color="auto"/>
                <w:right w:val="none" w:sz="0" w:space="0" w:color="auto"/>
              </w:divBdr>
              <w:divsChild>
                <w:div w:id="134586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6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5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1935534">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1950044885">
      <w:bodyDiv w:val="1"/>
      <w:marLeft w:val="0"/>
      <w:marRight w:val="0"/>
      <w:marTop w:val="0"/>
      <w:marBottom w:val="0"/>
      <w:divBdr>
        <w:top w:val="none" w:sz="0" w:space="0" w:color="auto"/>
        <w:left w:val="none" w:sz="0" w:space="0" w:color="auto"/>
        <w:bottom w:val="none" w:sz="0" w:space="0" w:color="auto"/>
        <w:right w:val="none" w:sz="0" w:space="0" w:color="auto"/>
      </w:divBdr>
      <w:divsChild>
        <w:div w:id="129637879">
          <w:marLeft w:val="0"/>
          <w:marRight w:val="0"/>
          <w:marTop w:val="0"/>
          <w:marBottom w:val="0"/>
          <w:divBdr>
            <w:top w:val="none" w:sz="0" w:space="0" w:color="auto"/>
            <w:left w:val="none" w:sz="0" w:space="0" w:color="auto"/>
            <w:bottom w:val="none" w:sz="0" w:space="0" w:color="auto"/>
            <w:right w:val="none" w:sz="0" w:space="0" w:color="auto"/>
          </w:divBdr>
          <w:divsChild>
            <w:div w:id="1853060401">
              <w:marLeft w:val="0"/>
              <w:marRight w:val="0"/>
              <w:marTop w:val="0"/>
              <w:marBottom w:val="0"/>
              <w:divBdr>
                <w:top w:val="none" w:sz="0" w:space="0" w:color="auto"/>
                <w:left w:val="none" w:sz="0" w:space="0" w:color="auto"/>
                <w:bottom w:val="none" w:sz="0" w:space="0" w:color="auto"/>
                <w:right w:val="none" w:sz="0" w:space="0" w:color="auto"/>
              </w:divBdr>
            </w:div>
          </w:divsChild>
        </w:div>
        <w:div w:id="1553076558">
          <w:marLeft w:val="0"/>
          <w:marRight w:val="0"/>
          <w:marTop w:val="0"/>
          <w:marBottom w:val="0"/>
          <w:divBdr>
            <w:top w:val="none" w:sz="0" w:space="0" w:color="auto"/>
            <w:left w:val="none" w:sz="0" w:space="0" w:color="auto"/>
            <w:bottom w:val="none" w:sz="0" w:space="0" w:color="auto"/>
            <w:right w:val="none" w:sz="0" w:space="0" w:color="auto"/>
          </w:divBdr>
          <w:divsChild>
            <w:div w:id="1169251950">
              <w:marLeft w:val="0"/>
              <w:marRight w:val="0"/>
              <w:marTop w:val="0"/>
              <w:marBottom w:val="0"/>
              <w:divBdr>
                <w:top w:val="none" w:sz="0" w:space="0" w:color="auto"/>
                <w:left w:val="none" w:sz="0" w:space="0" w:color="auto"/>
                <w:bottom w:val="none" w:sz="0" w:space="0" w:color="auto"/>
                <w:right w:val="none" w:sz="0" w:space="0" w:color="auto"/>
              </w:divBdr>
              <w:divsChild>
                <w:div w:id="1468355845">
                  <w:marLeft w:val="0"/>
                  <w:marRight w:val="0"/>
                  <w:marTop w:val="0"/>
                  <w:marBottom w:val="0"/>
                  <w:divBdr>
                    <w:top w:val="none" w:sz="0" w:space="0" w:color="auto"/>
                    <w:left w:val="none" w:sz="0" w:space="0" w:color="auto"/>
                    <w:bottom w:val="none" w:sz="0" w:space="0" w:color="auto"/>
                    <w:right w:val="none" w:sz="0" w:space="0" w:color="auto"/>
                  </w:divBdr>
                  <w:divsChild>
                    <w:div w:id="1412777864">
                      <w:marLeft w:val="0"/>
                      <w:marRight w:val="0"/>
                      <w:marTop w:val="0"/>
                      <w:marBottom w:val="0"/>
                      <w:divBdr>
                        <w:top w:val="none" w:sz="0" w:space="0" w:color="auto"/>
                        <w:left w:val="none" w:sz="0" w:space="0" w:color="auto"/>
                        <w:bottom w:val="none" w:sz="0" w:space="0" w:color="auto"/>
                        <w:right w:val="none" w:sz="0" w:space="0" w:color="auto"/>
                      </w:divBdr>
                      <w:divsChild>
                        <w:div w:id="766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816">
              <w:marLeft w:val="0"/>
              <w:marRight w:val="0"/>
              <w:marTop w:val="0"/>
              <w:marBottom w:val="0"/>
              <w:divBdr>
                <w:top w:val="none" w:sz="0" w:space="0" w:color="auto"/>
                <w:left w:val="none" w:sz="0" w:space="0" w:color="auto"/>
                <w:bottom w:val="none" w:sz="0" w:space="0" w:color="auto"/>
                <w:right w:val="none" w:sz="0" w:space="0" w:color="auto"/>
              </w:divBdr>
              <w:divsChild>
                <w:div w:id="142673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954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FF045F-601A-4612-B1A1-F2257C416787}">
  <ds:schemaRefs>
    <ds:schemaRef ds:uri="http://schemas.openxmlformats.org/officeDocument/2006/bibliography"/>
  </ds:schemaRefs>
</ds:datastoreItem>
</file>

<file path=customXml/itemProps2.xml><?xml version="1.0" encoding="utf-8"?>
<ds:datastoreItem xmlns:ds="http://schemas.openxmlformats.org/officeDocument/2006/customXml" ds:itemID="{41EA04D0-D1F7-4D79-AED1-FE63121064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29DB6F-E1EF-4A98-95C4-2EC4A039D123}"/>
</file>

<file path=customXml/itemProps4.xml><?xml version="1.0" encoding="utf-8"?>
<ds:datastoreItem xmlns:ds="http://schemas.openxmlformats.org/officeDocument/2006/customXml" ds:itemID="{66D634CA-D40F-4846-8535-E8E8C090B5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1</Pages>
  <Words>2131</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223</cp:revision>
  <cp:lastPrinted>2023-02-01T16:46:00Z</cp:lastPrinted>
  <dcterms:created xsi:type="dcterms:W3CDTF">2023-06-15T19:39:00Z</dcterms:created>
  <dcterms:modified xsi:type="dcterms:W3CDTF">2025-08-14T21:03:00Z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ies>
</file>