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624C" w14:textId="22AFA5B9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PROCESSUAL CIVIL. AGRAVO INTERNO.</w:t>
      </w:r>
      <w:r w:rsidR="008D2A64" w:rsidRPr="008D2A64">
        <w:rPr>
          <w:b/>
        </w:rPr>
        <w:t xml:space="preserve"> AGRAVO DE INSTRUMENTO. TUTELA RECURSAL ANTECIPADA. DEFERIMENTO PARCIAL. DIREITO DE RETENÇÃO. CAUÇÃO.</w:t>
      </w:r>
      <w:r w:rsidRPr="008D2A64">
        <w:rPr>
          <w:b/>
        </w:rPr>
        <w:t xml:space="preserve"> </w:t>
      </w:r>
    </w:p>
    <w:p w14:paraId="7031F21F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I. CASO EM EXAME</w:t>
      </w:r>
    </w:p>
    <w:p w14:paraId="47227A69" w14:textId="1366ED58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 xml:space="preserve">Agravo interno interposto contra decisão monocrática </w:t>
      </w:r>
      <w:r w:rsidR="008D2A64" w:rsidRPr="008D2A64">
        <w:rPr>
          <w:b/>
        </w:rPr>
        <w:t>que deferiu parcialmente pedido de atribuição de eficácia ativa a recurso de agravo de instrumento, para estender a oponibilidade do direito de retenção do armazém alfandegário a terceiros não depositantes</w:t>
      </w:r>
      <w:r w:rsidRPr="008D2A64">
        <w:rPr>
          <w:b/>
        </w:rPr>
        <w:t>.</w:t>
      </w:r>
    </w:p>
    <w:p w14:paraId="10BEDE65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II. QUESTÃO EM DISCUSSÃO</w:t>
      </w:r>
    </w:p>
    <w:p w14:paraId="056690C7" w14:textId="74BAF528" w:rsidR="00116FD4" w:rsidRPr="008D2A64" w:rsidRDefault="008D2A64" w:rsidP="00116FD4">
      <w:pPr>
        <w:ind w:firstLine="0"/>
        <w:rPr>
          <w:b/>
        </w:rPr>
      </w:pPr>
      <w:r w:rsidRPr="008D2A64">
        <w:rPr>
          <w:b/>
        </w:rPr>
        <w:t>Configuração dos requisitos da tutela de urgência, previstos no artigo 300 do Código de Processo Civil</w:t>
      </w:r>
      <w:r w:rsidR="00116FD4" w:rsidRPr="008D2A64">
        <w:rPr>
          <w:b/>
        </w:rPr>
        <w:t>.</w:t>
      </w:r>
    </w:p>
    <w:p w14:paraId="4ACCCBBA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III. RAZÕES DE DECIDIR</w:t>
      </w:r>
    </w:p>
    <w:p w14:paraId="35F09CFA" w14:textId="1EFFE384" w:rsidR="008D2A64" w:rsidRPr="008D2A64" w:rsidRDefault="00116FD4" w:rsidP="00116FD4">
      <w:pPr>
        <w:ind w:firstLine="0"/>
        <w:rPr>
          <w:b/>
        </w:rPr>
      </w:pPr>
      <w:r w:rsidRPr="008D2A64">
        <w:rPr>
          <w:b/>
        </w:rPr>
        <w:t xml:space="preserve">A ausência de efetiva demonstração de incorreção de decisão </w:t>
      </w:r>
      <w:r w:rsidR="008D2A64" w:rsidRPr="008D2A64">
        <w:rPr>
          <w:b/>
        </w:rPr>
        <w:t xml:space="preserve">liminar concessiva de tutela recursal antecipada enseja manutenção do </w:t>
      </w:r>
      <w:r w:rsidR="008D2A64" w:rsidRPr="008D2A64">
        <w:rPr>
          <w:b/>
          <w:i/>
          <w:iCs/>
        </w:rPr>
        <w:t>decisum</w:t>
      </w:r>
      <w:r w:rsidR="008D2A64" w:rsidRPr="008D2A64">
        <w:rPr>
          <w:b/>
        </w:rPr>
        <w:t>.</w:t>
      </w:r>
    </w:p>
    <w:p w14:paraId="069C5548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IV. SOLUÇÃO DO CASO</w:t>
      </w:r>
    </w:p>
    <w:p w14:paraId="36805C16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Recurso conhecido e desprovido.</w:t>
      </w:r>
    </w:p>
    <w:p w14:paraId="755982EB" w14:textId="77777777" w:rsidR="00116FD4" w:rsidRPr="008D2A64" w:rsidRDefault="00116FD4" w:rsidP="00116FD4">
      <w:pPr>
        <w:ind w:firstLine="0"/>
        <w:rPr>
          <w:b/>
        </w:rPr>
      </w:pPr>
      <w:r w:rsidRPr="008D2A64">
        <w:rPr>
          <w:b/>
        </w:rPr>
        <w:t>V. JURISPRUDÊNCIA E LEGISLAÇÃO UTILIZADAS</w:t>
      </w:r>
    </w:p>
    <w:p w14:paraId="060063CA" w14:textId="7057D292" w:rsidR="00116FD4" w:rsidRPr="008D2A64" w:rsidRDefault="008D2A64" w:rsidP="00116FD4">
      <w:pPr>
        <w:ind w:firstLine="0"/>
        <w:rPr>
          <w:b/>
          <w:szCs w:val="24"/>
        </w:rPr>
      </w:pPr>
      <w:r w:rsidRPr="008D2A64">
        <w:rPr>
          <w:b/>
          <w:szCs w:val="24"/>
        </w:rPr>
        <w:t xml:space="preserve">V.I. </w:t>
      </w:r>
      <w:r w:rsidR="00116FD4" w:rsidRPr="008D2A64">
        <w:rPr>
          <w:b/>
          <w:szCs w:val="24"/>
        </w:rPr>
        <w:t>Jurisprudência</w:t>
      </w:r>
    </w:p>
    <w:p w14:paraId="15C52819" w14:textId="6C83C19A" w:rsidR="008D2A64" w:rsidRPr="008D2A64" w:rsidRDefault="008D2A64" w:rsidP="00116FD4">
      <w:pPr>
        <w:ind w:firstLine="0"/>
        <w:rPr>
          <w:b/>
          <w:szCs w:val="24"/>
        </w:rPr>
      </w:pPr>
      <w:r w:rsidRPr="008D2A64">
        <w:rPr>
          <w:b/>
          <w:szCs w:val="24"/>
        </w:rPr>
        <w:t>STJ. Terceira Turma. Relator: Ministro João Otávio de Noronha. REsp n. 1.300.584/MT. Data de julgamento: 03-03-2016. Data de publicação: 09-03-2016;</w:t>
      </w:r>
    </w:p>
    <w:p w14:paraId="47916D85" w14:textId="75E0D1D0" w:rsidR="008D2A64" w:rsidRPr="008D2A64" w:rsidRDefault="008D2A64" w:rsidP="00116FD4">
      <w:pPr>
        <w:ind w:firstLine="0"/>
        <w:rPr>
          <w:b/>
          <w:szCs w:val="24"/>
        </w:rPr>
      </w:pPr>
      <w:proofErr w:type="spellStart"/>
      <w:r w:rsidRPr="008D2A64">
        <w:rPr>
          <w:b/>
          <w:szCs w:val="24"/>
        </w:rPr>
        <w:t>TJPR</w:t>
      </w:r>
      <w:proofErr w:type="spellEnd"/>
      <w:r w:rsidRPr="008D2A64">
        <w:rPr>
          <w:b/>
          <w:szCs w:val="24"/>
        </w:rPr>
        <w:t>. 10ª Câmara Cível. Relatora: Desembargadora Substituta Elizabeth de Fátima Nogueira Calmon de Passos. Agravo interno. 0012716-04.2024.8.16.0000. São José dos Pinhais. Data de julgamento: 15-07-2024.</w:t>
      </w:r>
    </w:p>
    <w:p w14:paraId="0A7998AA" w14:textId="74361103" w:rsidR="008D2A64" w:rsidRPr="008D2A64" w:rsidRDefault="008D2A64" w:rsidP="00116FD4">
      <w:pPr>
        <w:ind w:firstLine="0"/>
        <w:rPr>
          <w:b/>
        </w:rPr>
      </w:pPr>
      <w:proofErr w:type="spellStart"/>
      <w:r w:rsidRPr="008D2A64">
        <w:rPr>
          <w:b/>
        </w:rPr>
        <w:t>V.II</w:t>
      </w:r>
      <w:proofErr w:type="spellEnd"/>
      <w:r w:rsidRPr="008D2A64">
        <w:rPr>
          <w:b/>
        </w:rPr>
        <w:t xml:space="preserve">. </w:t>
      </w:r>
      <w:r w:rsidR="00116FD4" w:rsidRPr="008D2A64">
        <w:rPr>
          <w:b/>
        </w:rPr>
        <w:t>Legislação</w:t>
      </w:r>
    </w:p>
    <w:p w14:paraId="615148F5" w14:textId="2898BC5D" w:rsidR="008D2A64" w:rsidRPr="008D2A64" w:rsidRDefault="008D2A64" w:rsidP="00116FD4">
      <w:pPr>
        <w:ind w:firstLine="0"/>
        <w:rPr>
          <w:b/>
        </w:rPr>
      </w:pPr>
      <w:r w:rsidRPr="008D2A64">
        <w:rPr>
          <w:b/>
        </w:rPr>
        <w:t>Código Civil: art. 644.</w:t>
      </w:r>
    </w:p>
    <w:p w14:paraId="537917CA" w14:textId="640B2887" w:rsidR="008D2A64" w:rsidRPr="008D2A64" w:rsidRDefault="008D2A64" w:rsidP="00116FD4">
      <w:pPr>
        <w:ind w:firstLine="0"/>
        <w:rPr>
          <w:b/>
        </w:rPr>
      </w:pPr>
      <w:r w:rsidRPr="008D2A64">
        <w:rPr>
          <w:b/>
        </w:rPr>
        <w:lastRenderedPageBreak/>
        <w:t>Lei n. 5.025 de 1996: art. 53.</w:t>
      </w:r>
    </w:p>
    <w:p w14:paraId="03BCB604" w14:textId="03ADD3D9" w:rsidR="008D2A64" w:rsidRPr="008D2A64" w:rsidRDefault="008D2A64" w:rsidP="00116FD4">
      <w:pPr>
        <w:ind w:firstLine="0"/>
        <w:rPr>
          <w:b/>
        </w:rPr>
      </w:pPr>
      <w:r w:rsidRPr="008D2A64">
        <w:rPr>
          <w:b/>
        </w:rPr>
        <w:t>Decreto n. 1.102 de 1993: art. 14.</w:t>
      </w:r>
    </w:p>
    <w:p w14:paraId="54404094" w14:textId="08DC2733" w:rsidR="008D2A64" w:rsidRPr="008D2A64" w:rsidRDefault="008D2A64" w:rsidP="00116FD4">
      <w:pPr>
        <w:ind w:firstLine="0"/>
        <w:rPr>
          <w:b/>
        </w:rPr>
      </w:pPr>
      <w:r w:rsidRPr="008D2A64">
        <w:rPr>
          <w:b/>
        </w:rPr>
        <w:t xml:space="preserve">Código de Processo Civil: art. 300; </w:t>
      </w:r>
      <w:r w:rsidRPr="008D2A64">
        <w:rPr>
          <w:rFonts w:cs="Times New Roman"/>
          <w:b/>
          <w:szCs w:val="24"/>
        </w:rPr>
        <w:t>art. 835, § 2º.</w:t>
      </w:r>
    </w:p>
    <w:p w14:paraId="019BC04E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</w:p>
    <w:p w14:paraId="4F2D2C21" w14:textId="77777777" w:rsidR="00AA28DF" w:rsidRDefault="00AA28DF" w:rsidP="003765A5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12427BC1" w14:textId="3A0ECD99" w:rsidR="009C438F" w:rsidRDefault="00116FD4" w:rsidP="003765A5">
      <w:pPr>
        <w:pStyle w:val="PargrafodaLista"/>
        <w:ind w:left="0"/>
        <w:contextualSpacing w:val="0"/>
      </w:pPr>
      <w:r>
        <w:t xml:space="preserve">Cuida-se de agravo interno interposto por </w:t>
      </w:r>
      <w:proofErr w:type="spellStart"/>
      <w:r w:rsidR="009C438F" w:rsidRPr="009C438F">
        <w:t>Energea</w:t>
      </w:r>
      <w:proofErr w:type="spellEnd"/>
      <w:r w:rsidR="009C438F" w:rsidRPr="009C438F">
        <w:t xml:space="preserve"> Itacarambi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Itacarambi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</w:t>
      </w:r>
      <w:proofErr w:type="spellStart"/>
      <w:r w:rsidR="009C438F" w:rsidRPr="009C438F">
        <w:t>Itaguai</w:t>
      </w:r>
      <w:proofErr w:type="spellEnd"/>
      <w:r w:rsidR="009C438F" w:rsidRPr="009C438F">
        <w:t xml:space="preserve"> III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</w:t>
      </w:r>
      <w:proofErr w:type="spellStart"/>
      <w:r w:rsidR="009C438F" w:rsidRPr="009C438F">
        <w:t>Itaguai</w:t>
      </w:r>
      <w:proofErr w:type="spellEnd"/>
      <w:r w:rsidR="009C438F" w:rsidRPr="009C438F">
        <w:t xml:space="preserve"> II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</w:t>
      </w:r>
      <w:proofErr w:type="spellStart"/>
      <w:r w:rsidR="009C438F" w:rsidRPr="009C438F">
        <w:t>Itaguai</w:t>
      </w:r>
      <w:proofErr w:type="spellEnd"/>
      <w:r w:rsidR="009C438F" w:rsidRPr="009C438F">
        <w:t xml:space="preserve"> I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Nova Friburgo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Palmas S. 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Paraíba do Sul Ltda., </w:t>
      </w:r>
      <w:proofErr w:type="spellStart"/>
      <w:r w:rsidR="009C438F" w:rsidRPr="009C438F">
        <w:t>Energea</w:t>
      </w:r>
      <w:proofErr w:type="spellEnd"/>
      <w:r w:rsidR="009C438F" w:rsidRPr="009C438F">
        <w:t xml:space="preserve"> </w:t>
      </w:r>
      <w:proofErr w:type="spellStart"/>
      <w:r w:rsidR="009C438F" w:rsidRPr="009C438F">
        <w:t>Seropedica</w:t>
      </w:r>
      <w:proofErr w:type="spellEnd"/>
      <w:r w:rsidR="009C438F" w:rsidRPr="009C438F">
        <w:t xml:space="preserve"> Ltda. e </w:t>
      </w:r>
      <w:proofErr w:type="spellStart"/>
      <w:r w:rsidR="009C438F" w:rsidRPr="009C438F">
        <w:t>Energea</w:t>
      </w:r>
      <w:proofErr w:type="spellEnd"/>
      <w:r w:rsidR="009C438F" w:rsidRPr="009C438F">
        <w:t xml:space="preserve"> Vassouras I Ltda.</w:t>
      </w:r>
      <w:r w:rsidR="009C438F">
        <w:t xml:space="preserve"> em face de </w:t>
      </w:r>
      <w:proofErr w:type="spellStart"/>
      <w:r w:rsidR="009C438F">
        <w:t>Multilog</w:t>
      </w:r>
      <w:proofErr w:type="spellEnd"/>
      <w:r w:rsidR="009C438F">
        <w:t xml:space="preserve"> Brasil S. A., tendo como objeto decisão unipessoal </w:t>
      </w:r>
      <w:r w:rsidR="00A33DD1">
        <w:t>que</w:t>
      </w:r>
      <w:r w:rsidR="009C438F">
        <w:t xml:space="preserve"> deferiu parcialmente pedido de antecipação dos efeitos da tutela recursal em agravo de instrumento, para reconhecer a oponibilidade de direito de retenção do armazém em face de terceiros não depositantes e estabelecer a prestação de caução idône</w:t>
      </w:r>
      <w:r w:rsidR="00D41968">
        <w:t>a</w:t>
      </w:r>
      <w:r w:rsidR="009C438F">
        <w:t xml:space="preserve"> como requisito para retirada de mercadorias pelas agravantes (evento 13.1 – Ai).</w:t>
      </w:r>
    </w:p>
    <w:p w14:paraId="20C62454" w14:textId="5BBEA154" w:rsidR="0078477B" w:rsidRDefault="00116FD4" w:rsidP="003765A5">
      <w:pPr>
        <w:pStyle w:val="PargrafodaLista"/>
        <w:ind w:left="0"/>
        <w:contextualSpacing w:val="0"/>
      </w:pPr>
      <w:r>
        <w:t>Eis, em síntese, as razões de inconformismo:</w:t>
      </w:r>
      <w:r w:rsidR="0078477B">
        <w:t xml:space="preserve"> a) inexistência de relação contratual entre as </w:t>
      </w:r>
      <w:proofErr w:type="spellStart"/>
      <w:r w:rsidR="0078477B">
        <w:t>SPE’s</w:t>
      </w:r>
      <w:proofErr w:type="spellEnd"/>
      <w:r w:rsidR="0078477B">
        <w:t xml:space="preserve"> e a </w:t>
      </w:r>
      <w:proofErr w:type="spellStart"/>
      <w:r w:rsidR="0078477B">
        <w:t>Multilog</w:t>
      </w:r>
      <w:proofErr w:type="spellEnd"/>
      <w:r w:rsidR="0078477B">
        <w:t xml:space="preserve">, sendo a Alexandria Indústria de Geradores S.A. a única responsável pelo pagamento das taxas de armazenagem; b) o direito de retenção não oponível às </w:t>
      </w:r>
      <w:proofErr w:type="spellStart"/>
      <w:r w:rsidR="0078477B">
        <w:t>SPE’s</w:t>
      </w:r>
      <w:proofErr w:type="spellEnd"/>
      <w:r w:rsidR="0078477B">
        <w:t xml:space="preserve">, tampouco utilizado como meio coercitivo para pagamento de obrigações que não lhes cabem; c) a </w:t>
      </w:r>
      <w:proofErr w:type="spellStart"/>
      <w:r w:rsidR="0078477B">
        <w:t>Multilog</w:t>
      </w:r>
      <w:proofErr w:type="spellEnd"/>
      <w:r w:rsidR="0078477B">
        <w:t xml:space="preserve"> posterga o acesso às informações e documentos necessários para a remoção dos equipamentos, aumentando artificialmente as taxas de armazenagem; d) ausência de risco patrimonial para a </w:t>
      </w:r>
      <w:proofErr w:type="spellStart"/>
      <w:r w:rsidR="0078477B">
        <w:t>Multilog</w:t>
      </w:r>
      <w:proofErr w:type="spellEnd"/>
      <w:r w:rsidR="00D61B69">
        <w:t xml:space="preserve">, posto que as </w:t>
      </w:r>
      <w:proofErr w:type="spellStart"/>
      <w:r w:rsidR="00D61B69">
        <w:t>SPE’s</w:t>
      </w:r>
      <w:proofErr w:type="spellEnd"/>
      <w:r w:rsidR="00D61B69">
        <w:t xml:space="preserve"> possuem capacidade financeira para ressarcir eventuais prejuízos, caso condenadas; e) há risco de dano inverso, consistente na depreciação dos bens e impossibilidade de uso em suas atividades econômicas (evento 1.1).</w:t>
      </w:r>
    </w:p>
    <w:p w14:paraId="295871D8" w14:textId="1F22FE07" w:rsidR="00D61B69" w:rsidRDefault="00CE58D3" w:rsidP="003765A5">
      <w:pPr>
        <w:pStyle w:val="PargrafodaLista"/>
        <w:ind w:left="0"/>
        <w:contextualSpacing w:val="0"/>
      </w:pPr>
      <w:r>
        <w:t xml:space="preserve">Nas contrarrazões, a </w:t>
      </w:r>
      <w:proofErr w:type="spellStart"/>
      <w:r>
        <w:t>Multilog</w:t>
      </w:r>
      <w:proofErr w:type="spellEnd"/>
      <w:r>
        <w:t xml:space="preserve"> sustentou que: a) </w:t>
      </w:r>
      <w:r w:rsidR="003765A5">
        <w:t>o direito de retenção</w:t>
      </w:r>
      <w:r>
        <w:t xml:space="preserve"> </w:t>
      </w:r>
      <w:r w:rsidR="003765A5">
        <w:t>é baseado na legislação civil e aduaneira</w:t>
      </w:r>
      <w:r>
        <w:t xml:space="preserve">, constituindo </w:t>
      </w:r>
      <w:r w:rsidR="003765A5">
        <w:t>mecanismo de garantia do pagamento das despesas geradas pelo depósito das mercadorias</w:t>
      </w:r>
      <w:r>
        <w:t xml:space="preserve">; b) </w:t>
      </w:r>
      <w:r w:rsidR="003765A5">
        <w:t xml:space="preserve">o depósito das cargas decorrente do processo de importação realizado pela Alexandria, e que as </w:t>
      </w:r>
      <w:proofErr w:type="spellStart"/>
      <w:r w:rsidR="003765A5">
        <w:t>SPE</w:t>
      </w:r>
      <w:r>
        <w:t>’</w:t>
      </w:r>
      <w:r w:rsidR="003765A5">
        <w:t>s</w:t>
      </w:r>
      <w:proofErr w:type="spellEnd"/>
      <w:r w:rsidR="003765A5">
        <w:t xml:space="preserve">, como beneficiárias da </w:t>
      </w:r>
      <w:r>
        <w:t xml:space="preserve">nacionalização, </w:t>
      </w:r>
      <w:r w:rsidR="003765A5">
        <w:t>estão sujeitas aos efeitos jurídicos do depósito</w:t>
      </w:r>
      <w:r>
        <w:t xml:space="preserve">; c) o </w:t>
      </w:r>
      <w:r w:rsidR="003765A5">
        <w:t xml:space="preserve">direito de retenção do depositário, inclusive em casos de depósito necessário, e que a retenção é um direito </w:t>
      </w:r>
      <w:r w:rsidR="003765A5">
        <w:lastRenderedPageBreak/>
        <w:t>regular e lícito, não configurando abuso de direito</w:t>
      </w:r>
      <w:r>
        <w:t xml:space="preserve">; d) </w:t>
      </w:r>
      <w:r w:rsidR="003765A5">
        <w:t xml:space="preserve">as </w:t>
      </w:r>
      <w:proofErr w:type="spellStart"/>
      <w:r w:rsidR="003765A5">
        <w:t>SPE</w:t>
      </w:r>
      <w:r>
        <w:t>’</w:t>
      </w:r>
      <w:r w:rsidR="003765A5">
        <w:t>s</w:t>
      </w:r>
      <w:proofErr w:type="spellEnd"/>
      <w:r w:rsidR="003765A5">
        <w:t xml:space="preserve"> são empresas de grande porte</w:t>
      </w:r>
      <w:r>
        <w:t xml:space="preserve"> e têm capacidade de arcar com as despesas de armazenagem, inexistindo dano reverso; e) </w:t>
      </w:r>
      <w:r w:rsidR="003765A5">
        <w:t xml:space="preserve">uma vez removida a carga, </w:t>
      </w:r>
      <w:r>
        <w:t xml:space="preserve">esvazia-se a garantia decorrente do direito de retenção, o que </w:t>
      </w:r>
      <w:r w:rsidR="003765A5">
        <w:t xml:space="preserve">justifica a manutenção </w:t>
      </w:r>
      <w:r>
        <w:t>da condição judicialmente imposta (evento 11.1).</w:t>
      </w:r>
    </w:p>
    <w:p w14:paraId="28130C35" w14:textId="7B846290" w:rsidR="00116FD4" w:rsidRDefault="00116FD4" w:rsidP="003765A5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3765A5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3765A5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3765A5">
      <w:pPr>
        <w:pStyle w:val="PargrafodaLista"/>
        <w:ind w:left="0"/>
        <w:contextualSpacing w:val="0"/>
      </w:pPr>
      <w:r>
        <w:t>II.I – DO JUÍZO DE ADMISSIBILIDADE</w:t>
      </w:r>
    </w:p>
    <w:p w14:paraId="0D18F41D" w14:textId="3B442E79" w:rsidR="00A76A3F" w:rsidRDefault="00116FD4" w:rsidP="003765A5">
      <w:pPr>
        <w:pStyle w:val="PargrafodaLista"/>
        <w:ind w:left="0"/>
        <w:contextualSpacing w:val="0"/>
      </w:pPr>
      <w:r>
        <w:t>Satisfeitos os pressupostos de admissibilidade recursal, conhece-se do agravo interno interposto.</w:t>
      </w:r>
    </w:p>
    <w:p w14:paraId="3B1CD4B1" w14:textId="77777777" w:rsidR="00116FD4" w:rsidRDefault="00116FD4" w:rsidP="003765A5">
      <w:pPr>
        <w:pStyle w:val="PargrafodaLista"/>
        <w:ind w:left="0"/>
        <w:contextualSpacing w:val="0"/>
      </w:pPr>
    </w:p>
    <w:p w14:paraId="3D8EF168" w14:textId="724505E9" w:rsidR="00116FD4" w:rsidRDefault="00116FD4" w:rsidP="003765A5">
      <w:pPr>
        <w:pStyle w:val="PargrafodaLista"/>
        <w:ind w:left="0"/>
        <w:contextualSpacing w:val="0"/>
      </w:pPr>
      <w:r>
        <w:t xml:space="preserve">II.II – </w:t>
      </w:r>
      <w:r w:rsidR="00D61B69">
        <w:t>DO EFEITO RECURSAL ATIVO</w:t>
      </w:r>
    </w:p>
    <w:p w14:paraId="4E485253" w14:textId="02961546" w:rsidR="00116FD4" w:rsidRDefault="00116FD4" w:rsidP="003765A5">
      <w:pPr>
        <w:pStyle w:val="PargrafodaLista"/>
        <w:ind w:left="0"/>
        <w:contextualSpacing w:val="0"/>
      </w:pPr>
      <w:r>
        <w:t>Cinge-se a controvérsia recursal à pretensão de reexame de decisão parcialmente concessiva de tutela recursal antecipada, fundamentada em inferência positiva dos requisitos inscritos no artigo 300 do Código de Processo Civil.</w:t>
      </w:r>
    </w:p>
    <w:p w14:paraId="7F318818" w14:textId="22F3E43B" w:rsidR="00D61B69" w:rsidRDefault="00D61B69" w:rsidP="003765A5">
      <w:pPr>
        <w:pStyle w:val="PargrafodaLista"/>
        <w:ind w:left="0"/>
        <w:contextualSpacing w:val="0"/>
        <w:rPr>
          <w:rFonts w:cs="Times New Roman"/>
          <w:szCs w:val="24"/>
        </w:rPr>
      </w:pPr>
      <w:r>
        <w:t xml:space="preserve">Ao contrário dos argumentos manifestados, colhe-se, da decisão impugnada, escorreita </w:t>
      </w:r>
      <w:r w:rsidR="00116FD4" w:rsidRPr="00D61B69">
        <w:rPr>
          <w:rFonts w:cs="Times New Roman"/>
          <w:szCs w:val="24"/>
        </w:rPr>
        <w:t xml:space="preserve">fundamentação </w:t>
      </w:r>
      <w:r w:rsidR="00521167">
        <w:rPr>
          <w:rFonts w:cs="Times New Roman"/>
          <w:szCs w:val="24"/>
        </w:rPr>
        <w:t xml:space="preserve">sobre </w:t>
      </w:r>
      <w:r w:rsidR="00445612">
        <w:rPr>
          <w:rFonts w:cs="Times New Roman"/>
          <w:szCs w:val="24"/>
        </w:rPr>
        <w:t>o preenchimento dos requisitos correlatos.</w:t>
      </w:r>
    </w:p>
    <w:p w14:paraId="6D1D0EE1" w14:textId="14E19F03" w:rsidR="00521167" w:rsidRDefault="00521167" w:rsidP="00521167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 direito de retenção do armazém decorre de expressa previsão no artigo 644 do Código Civil, no artigo 53 da Lei n. 5.025</w:t>
      </w:r>
      <w:r w:rsidR="00D4196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de 1966</w:t>
      </w:r>
      <w:r w:rsidR="00D4196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e no artigo 14 do Decreto n. 1.102</w:t>
      </w:r>
      <w:r w:rsidR="00D4196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de 1993.</w:t>
      </w:r>
    </w:p>
    <w:p w14:paraId="64EDBE53" w14:textId="161387FD" w:rsidR="00E50CF2" w:rsidRDefault="00E50CF2" w:rsidP="00521167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esse respeito:</w:t>
      </w:r>
    </w:p>
    <w:p w14:paraId="4D1BF650" w14:textId="77777777" w:rsidR="00E50CF2" w:rsidRDefault="00E50CF2" w:rsidP="00521167">
      <w:pPr>
        <w:pStyle w:val="PargrafodaLista"/>
        <w:ind w:left="0"/>
        <w:contextualSpacing w:val="0"/>
        <w:rPr>
          <w:rFonts w:cs="Times New Roman"/>
          <w:szCs w:val="24"/>
        </w:rPr>
      </w:pPr>
    </w:p>
    <w:p w14:paraId="29366F74" w14:textId="77777777" w:rsidR="00E50CF2" w:rsidRPr="00116FD4" w:rsidRDefault="00E50CF2" w:rsidP="00E50CF2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116FD4">
        <w:rPr>
          <w:sz w:val="20"/>
          <w:szCs w:val="18"/>
        </w:rPr>
        <w:t xml:space="preserve">CIVIL E PROCESSUAL CIVIL. EXECUÇÃO. CÉDULA DE PRODUTO RURAL. DEPÓSITO JUDICIAL. ARMAZENAGEM DE GRÃOS. INEXISTÊNCIA DE CAUÇÃO OU DE ADIANTAMENTO DE DESPESAS PELO EXEQUENTE. SUPERVENIÊNCIA DE ACORDO. CUSTAS E DESPESAS JUDICIAIS POR CONTA DO EXECUTADO. </w:t>
      </w:r>
      <w:r w:rsidRPr="00116FD4">
        <w:rPr>
          <w:sz w:val="20"/>
          <w:szCs w:val="18"/>
        </w:rPr>
        <w:lastRenderedPageBreak/>
        <w:t>HOMOLOGAÇÃO SEM INTERVENIÊNCIA DO ARMAZÉM DEPOSITÁRIO. EXERCÍCIO DO DIREITO DE RETENÇÃO. POSSIBILIDADE.</w:t>
      </w:r>
      <w:r>
        <w:rPr>
          <w:sz w:val="20"/>
          <w:szCs w:val="18"/>
        </w:rPr>
        <w:t xml:space="preserve"> </w:t>
      </w:r>
      <w:r w:rsidRPr="00116FD4">
        <w:rPr>
          <w:sz w:val="20"/>
          <w:szCs w:val="18"/>
        </w:rPr>
        <w:t>1. Como regra geral, a execução corre por conta do exequente até a satisfação do seu direito, devendo adiantar as despesas dos atos ou diligências que requerer e ainda aquelas determinadas pelo juízo.</w:t>
      </w:r>
      <w:r>
        <w:rPr>
          <w:sz w:val="20"/>
          <w:szCs w:val="18"/>
        </w:rPr>
        <w:t xml:space="preserve"> </w:t>
      </w:r>
      <w:r w:rsidRPr="00116FD4">
        <w:rPr>
          <w:sz w:val="20"/>
          <w:szCs w:val="18"/>
        </w:rPr>
        <w:t>Interpretação do art. 19, caput e § 2º, do CPC.</w:t>
      </w:r>
      <w:r>
        <w:rPr>
          <w:sz w:val="20"/>
          <w:szCs w:val="18"/>
        </w:rPr>
        <w:t xml:space="preserve"> </w:t>
      </w:r>
      <w:r w:rsidRPr="00116FD4">
        <w:rPr>
          <w:sz w:val="20"/>
          <w:szCs w:val="18"/>
        </w:rPr>
        <w:t>2. Se não foi prestada caução nem foram adiantadas as despesas para cobrir despesas com armazenagem e conservação do produto agrícola depositado, o respectivo armazém, ainda que no múnus público de depositário, pode exercer o direito de retenção de parte do produto até que sejam ressarcidos esses custos e pagos seus honorários.</w:t>
      </w:r>
      <w:r>
        <w:rPr>
          <w:sz w:val="20"/>
          <w:szCs w:val="18"/>
        </w:rPr>
        <w:t xml:space="preserve"> </w:t>
      </w:r>
      <w:r w:rsidRPr="00116FD4">
        <w:rPr>
          <w:sz w:val="20"/>
          <w:szCs w:val="18"/>
        </w:rPr>
        <w:t>3. Recurso especial provido.</w:t>
      </w:r>
      <w:r>
        <w:rPr>
          <w:sz w:val="20"/>
          <w:szCs w:val="18"/>
        </w:rPr>
        <w:t xml:space="preserve"> </w:t>
      </w:r>
      <w:r w:rsidRPr="00116FD4">
        <w:rPr>
          <w:sz w:val="20"/>
          <w:szCs w:val="18"/>
        </w:rPr>
        <w:t>(</w:t>
      </w:r>
      <w:bookmarkStart w:id="0" w:name="_Hlk192694231"/>
      <w:r>
        <w:rPr>
          <w:sz w:val="20"/>
          <w:szCs w:val="18"/>
        </w:rPr>
        <w:t xml:space="preserve">STJ. Terceira Turma. Relator: Ministro João Otávio de Noronha. </w:t>
      </w:r>
      <w:r w:rsidRPr="00116FD4">
        <w:rPr>
          <w:sz w:val="20"/>
          <w:szCs w:val="18"/>
        </w:rPr>
        <w:t>REsp n. 1.300.584/MT</w:t>
      </w:r>
      <w:r>
        <w:rPr>
          <w:sz w:val="20"/>
          <w:szCs w:val="18"/>
        </w:rPr>
        <w:t>. Data de julgamento: 03-03-2016. Data de publicação: 09-03-2016</w:t>
      </w:r>
      <w:bookmarkEnd w:id="0"/>
      <w:r>
        <w:rPr>
          <w:sz w:val="20"/>
          <w:szCs w:val="18"/>
        </w:rPr>
        <w:t>).</w:t>
      </w:r>
    </w:p>
    <w:p w14:paraId="79C9A441" w14:textId="77777777" w:rsidR="00E50CF2" w:rsidRDefault="00E50CF2" w:rsidP="00521167">
      <w:pPr>
        <w:pStyle w:val="PargrafodaLista"/>
        <w:ind w:left="0"/>
        <w:contextualSpacing w:val="0"/>
        <w:rPr>
          <w:rFonts w:cs="Times New Roman"/>
          <w:szCs w:val="24"/>
        </w:rPr>
      </w:pPr>
    </w:p>
    <w:p w14:paraId="365DD261" w14:textId="77777777" w:rsidR="00445612" w:rsidRDefault="00445612" w:rsidP="00521167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 efeito, o texto legal </w:t>
      </w:r>
      <w:r w:rsidR="00521167" w:rsidRPr="00521167">
        <w:rPr>
          <w:rFonts w:cs="Times New Roman"/>
          <w:szCs w:val="24"/>
        </w:rPr>
        <w:t>não estabelece limitação para a projeção subjetiva do direito de retenção</w:t>
      </w:r>
      <w:r w:rsidR="00521167">
        <w:rPr>
          <w:rFonts w:cs="Times New Roman"/>
          <w:szCs w:val="24"/>
        </w:rPr>
        <w:t>.</w:t>
      </w:r>
    </w:p>
    <w:p w14:paraId="02143613" w14:textId="0F9A3C29" w:rsidR="00445612" w:rsidRDefault="00445612" w:rsidP="00521167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521167">
        <w:rPr>
          <w:rFonts w:cs="Times New Roman"/>
          <w:szCs w:val="24"/>
        </w:rPr>
        <w:t xml:space="preserve"> retenção constitui mecanismo de garantia em favor dos armazéns,</w:t>
      </w:r>
      <w:r>
        <w:rPr>
          <w:rFonts w:cs="Times New Roman"/>
          <w:szCs w:val="24"/>
        </w:rPr>
        <w:t xml:space="preserve"> de modo que a restrição de sua oponibilidade, como pretendido pelas agravantes, contraria a teleologia da norma.</w:t>
      </w:r>
    </w:p>
    <w:p w14:paraId="531840F5" w14:textId="5E977BF1" w:rsidR="000C5B6B" w:rsidRDefault="000C5B6B" w:rsidP="00521167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Mantém-se, pois, inalterada a inferência positiva sobre a probabilidade de provimento do agravo, verificada em condições precária e provisória.</w:t>
      </w:r>
    </w:p>
    <w:p w14:paraId="6C62E829" w14:textId="6C7A8B61" w:rsidR="000C5B6B" w:rsidRDefault="000C5B6B" w:rsidP="000C5B6B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 risco de dano, a despeito das invectivas recursais, está diretamente relacionado com o próprio esvaziamento da garantia, o que demanda ser evitado como forma e evitar desdobramentos mais graves entes as partes.</w:t>
      </w:r>
    </w:p>
    <w:p w14:paraId="638171D9" w14:textId="0441EE93" w:rsidR="000C5B6B" w:rsidRPr="000C5B6B" w:rsidRDefault="000C5B6B" w:rsidP="000C5B6B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Ademais, a própria afirmação de que as </w:t>
      </w:r>
      <w:proofErr w:type="spellStart"/>
      <w:r>
        <w:rPr>
          <w:rFonts w:cs="Times New Roman"/>
          <w:szCs w:val="24"/>
        </w:rPr>
        <w:t>SPE’s</w:t>
      </w:r>
      <w:proofErr w:type="spellEnd"/>
      <w:r>
        <w:rPr>
          <w:rFonts w:cs="Times New Roman"/>
          <w:szCs w:val="24"/>
        </w:rPr>
        <w:t xml:space="preserve"> teriam capacidade financeira para suportar eventual condenação afasta a alegação de dano reverso. A mesma capacidade econômica pode, agora, ser utilizada para apresentação de garantia judicialmente estabelecida</w:t>
      </w:r>
      <w:r w:rsidR="008D2A64">
        <w:rPr>
          <w:rFonts w:cs="Times New Roman"/>
          <w:szCs w:val="24"/>
        </w:rPr>
        <w:t>, inclusive mediante fiança bancária e seguro garantia judicial (CPC, art. 835, § 2º).</w:t>
      </w:r>
    </w:p>
    <w:p w14:paraId="174FBABC" w14:textId="64F2479D" w:rsidR="008D2A64" w:rsidRDefault="008D2A64" w:rsidP="008D2A64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Assim, como as razões recursais são incapazes de infirmar o entendimento adotado na decisão vergastada, impositiva é a respectiva manutenção.</w:t>
      </w:r>
    </w:p>
    <w:p w14:paraId="68BB6E53" w14:textId="77777777" w:rsidR="008D2A64" w:rsidRDefault="008D2A64" w:rsidP="008D2A64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Neste sentido:</w:t>
      </w:r>
    </w:p>
    <w:p w14:paraId="7984508C" w14:textId="77777777" w:rsidR="008D2A64" w:rsidRDefault="008D2A64" w:rsidP="008D2A64">
      <w:pPr>
        <w:ind w:firstLine="567"/>
        <w:rPr>
          <w:rFonts w:cs="Times New Roman"/>
          <w:szCs w:val="24"/>
        </w:rPr>
      </w:pPr>
    </w:p>
    <w:p w14:paraId="6413085D" w14:textId="77777777" w:rsidR="008D2A64" w:rsidRDefault="008D2A64" w:rsidP="008D2A64">
      <w:pPr>
        <w:ind w:left="2268" w:firstLine="0"/>
        <w:rPr>
          <w:rFonts w:cs="Times New Roman"/>
          <w:sz w:val="20"/>
          <w:szCs w:val="24"/>
        </w:rPr>
      </w:pPr>
      <w:r w:rsidRPr="0001428B">
        <w:rPr>
          <w:rFonts w:cs="Times New Roman"/>
          <w:sz w:val="20"/>
          <w:szCs w:val="24"/>
        </w:rPr>
        <w:t xml:space="preserve">AGRAVO INTERNO. PLANO DE SAÚDE. </w:t>
      </w:r>
      <w:r w:rsidRPr="0001428B">
        <w:rPr>
          <w:rFonts w:cs="Times New Roman"/>
          <w:b/>
          <w:sz w:val="20"/>
          <w:szCs w:val="24"/>
        </w:rPr>
        <w:t>EFEITO SUSPENSIVO INDEFERIDO NO AGRAVO DE INSTRUMENTO. MANUTENÇÃO DA TUTELA CONCEDIDA NA ORIGEM</w:t>
      </w:r>
      <w:r w:rsidRPr="0001428B">
        <w:rPr>
          <w:rFonts w:cs="Times New Roman"/>
          <w:sz w:val="20"/>
          <w:szCs w:val="24"/>
        </w:rPr>
        <w:t>. AUTORA DIAGNOSTICADA COM ESCLEROSE MÚLTIPLA. FORNECIMENTO DO MEDICAMENTO “</w:t>
      </w:r>
      <w:proofErr w:type="spellStart"/>
      <w:r w:rsidRPr="0001428B">
        <w:rPr>
          <w:rFonts w:cs="Times New Roman"/>
          <w:sz w:val="20"/>
          <w:szCs w:val="24"/>
        </w:rPr>
        <w:t>OFATUMUMABE</w:t>
      </w:r>
      <w:proofErr w:type="spellEnd"/>
      <w:r w:rsidRPr="0001428B">
        <w:rPr>
          <w:rFonts w:cs="Times New Roman"/>
          <w:sz w:val="20"/>
          <w:szCs w:val="24"/>
        </w:rPr>
        <w:t xml:space="preserve"> (</w:t>
      </w:r>
      <w:proofErr w:type="spellStart"/>
      <w:r w:rsidRPr="0001428B">
        <w:rPr>
          <w:rFonts w:cs="Times New Roman"/>
          <w:sz w:val="20"/>
          <w:szCs w:val="24"/>
        </w:rPr>
        <w:t>KESIMPTA</w:t>
      </w:r>
      <w:proofErr w:type="spellEnd"/>
      <w:r w:rsidRPr="0001428B">
        <w:rPr>
          <w:rFonts w:cs="Times New Roman"/>
          <w:sz w:val="20"/>
          <w:szCs w:val="24"/>
        </w:rPr>
        <w:t xml:space="preserve">)”. </w:t>
      </w:r>
      <w:r w:rsidRPr="0001428B">
        <w:rPr>
          <w:rFonts w:cs="Times New Roman"/>
          <w:b/>
          <w:sz w:val="20"/>
          <w:szCs w:val="24"/>
        </w:rPr>
        <w:t>AUSÊNCIA DE ARGUMENTOS CAPAZES DE INFIRMAR OS FUNDAMENTOS UTILIZADOS NA DECISÃO MONOCRÁTICA. DECISÃO MANTIDA.</w:t>
      </w:r>
      <w:r w:rsidRPr="0001428B">
        <w:rPr>
          <w:rFonts w:cs="Times New Roman"/>
          <w:sz w:val="20"/>
          <w:szCs w:val="24"/>
        </w:rPr>
        <w:t xml:space="preserve"> AGRAVO CONHECIDO E DESPROVIDO. (</w:t>
      </w:r>
      <w:bookmarkStart w:id="1" w:name="_Hlk192694248"/>
      <w:proofErr w:type="spellStart"/>
      <w:r w:rsidRPr="0001428B">
        <w:rPr>
          <w:rFonts w:cs="Times New Roman"/>
          <w:sz w:val="20"/>
          <w:szCs w:val="24"/>
        </w:rPr>
        <w:t>TJPR</w:t>
      </w:r>
      <w:proofErr w:type="spellEnd"/>
      <w:r>
        <w:rPr>
          <w:rFonts w:cs="Times New Roman"/>
          <w:sz w:val="20"/>
          <w:szCs w:val="24"/>
        </w:rPr>
        <w:t xml:space="preserve">. 10ª Câmara Cível. Relatora: Desembargadora Substituta Elizabeth de Fátima Nogueira Calmon de Passos. Agravo interno. </w:t>
      </w:r>
      <w:r w:rsidRPr="0001428B">
        <w:rPr>
          <w:rFonts w:cs="Times New Roman"/>
          <w:sz w:val="20"/>
          <w:szCs w:val="24"/>
        </w:rPr>
        <w:t>0012716-04.2024.8.16.0000</w:t>
      </w:r>
      <w:r>
        <w:rPr>
          <w:rFonts w:cs="Times New Roman"/>
          <w:sz w:val="20"/>
          <w:szCs w:val="24"/>
        </w:rPr>
        <w:t>. São José dos Pinhais. Data de julgamento: 15-07-2024</w:t>
      </w:r>
      <w:bookmarkEnd w:id="1"/>
      <w:r>
        <w:rPr>
          <w:rFonts w:cs="Times New Roman"/>
          <w:sz w:val="20"/>
          <w:szCs w:val="24"/>
        </w:rPr>
        <w:t>).</w:t>
      </w:r>
    </w:p>
    <w:p w14:paraId="4934BB37" w14:textId="77777777" w:rsidR="008D2A64" w:rsidRDefault="008D2A64" w:rsidP="008D2A64">
      <w:pPr>
        <w:pStyle w:val="PargrafodaLista"/>
        <w:ind w:left="0"/>
        <w:contextualSpacing w:val="0"/>
      </w:pPr>
    </w:p>
    <w:p w14:paraId="06FF083F" w14:textId="77777777" w:rsidR="008D2A64" w:rsidRDefault="008D2A64" w:rsidP="008D2A64">
      <w:pPr>
        <w:pStyle w:val="PargrafodaLista"/>
        <w:ind w:left="0"/>
        <w:contextualSpacing w:val="0"/>
      </w:pPr>
      <w:r>
        <w:t>Afasta-se, pois, o repto recursal.</w:t>
      </w:r>
    </w:p>
    <w:p w14:paraId="4FDF4543" w14:textId="77777777" w:rsidR="003765A5" w:rsidRDefault="003765A5" w:rsidP="003765A5">
      <w:pPr>
        <w:pStyle w:val="PargrafodaLista"/>
        <w:ind w:left="0"/>
        <w:contextualSpacing w:val="0"/>
      </w:pPr>
    </w:p>
    <w:p w14:paraId="4F9B449E" w14:textId="12005E57" w:rsidR="00AA28DF" w:rsidRDefault="009C438F" w:rsidP="003765A5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14:paraId="5AF58FA4" w14:textId="2DBC55B7" w:rsidR="00116FD4" w:rsidRDefault="00AA28DF" w:rsidP="003765A5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116FD4">
        <w:t xml:space="preserve"> em conhecer e desprover o recurso.</w:t>
      </w:r>
    </w:p>
    <w:p w14:paraId="4308533E" w14:textId="77777777" w:rsidR="00AA28DF" w:rsidRDefault="00AA28DF" w:rsidP="003765A5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3765A5">
      <w:pPr>
        <w:pStyle w:val="PargrafodaLista"/>
        <w:ind w:left="0"/>
        <w:contextualSpacing w:val="0"/>
      </w:pPr>
    </w:p>
    <w:p w14:paraId="717BA75D" w14:textId="62AD932C" w:rsidR="00AA28DF" w:rsidRPr="00AA28DF" w:rsidRDefault="00877419" w:rsidP="003765A5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116FD4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360A2"/>
    <w:rsid w:val="000C5B6B"/>
    <w:rsid w:val="00116FD4"/>
    <w:rsid w:val="00146748"/>
    <w:rsid w:val="00165C47"/>
    <w:rsid w:val="003765A5"/>
    <w:rsid w:val="00445612"/>
    <w:rsid w:val="00521167"/>
    <w:rsid w:val="00672942"/>
    <w:rsid w:val="0078477B"/>
    <w:rsid w:val="00794062"/>
    <w:rsid w:val="00877419"/>
    <w:rsid w:val="008B5638"/>
    <w:rsid w:val="008D2A64"/>
    <w:rsid w:val="00921BC7"/>
    <w:rsid w:val="009C438F"/>
    <w:rsid w:val="00A33DD1"/>
    <w:rsid w:val="00A76A3F"/>
    <w:rsid w:val="00AA28DF"/>
    <w:rsid w:val="00AE47D1"/>
    <w:rsid w:val="00B66FDC"/>
    <w:rsid w:val="00BC593E"/>
    <w:rsid w:val="00C87443"/>
    <w:rsid w:val="00CE58D3"/>
    <w:rsid w:val="00D41968"/>
    <w:rsid w:val="00D61B69"/>
    <w:rsid w:val="00D95D83"/>
    <w:rsid w:val="00DC37B4"/>
    <w:rsid w:val="00E50CF2"/>
    <w:rsid w:val="00F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Reviso">
    <w:name w:val="Revision"/>
    <w:hidden/>
    <w:uiPriority w:val="99"/>
    <w:semiHidden/>
    <w:rsid w:val="00D95D8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0B9C9-A1C0-4963-BA79-03486B05DEB5}"/>
</file>

<file path=customXml/itemProps2.xml><?xml version="1.0" encoding="utf-8"?>
<ds:datastoreItem xmlns:ds="http://schemas.openxmlformats.org/officeDocument/2006/customXml" ds:itemID="{1E44F614-33FF-4A1A-B918-EA36DBB5E39B}"/>
</file>

<file path=customXml/itemProps3.xml><?xml version="1.0" encoding="utf-8"?>
<ds:datastoreItem xmlns:ds="http://schemas.openxmlformats.org/officeDocument/2006/customXml" ds:itemID="{5CD63C8F-01BA-4AD2-9E28-026E04239C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1176</Words>
  <Characters>6354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</cp:revision>
  <dcterms:created xsi:type="dcterms:W3CDTF">2024-02-08T17:42:00Z</dcterms:created>
  <dcterms:modified xsi:type="dcterms:W3CDTF">2025-03-14T17:56:00Z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318000</vt:r8>
  </property>
</Properties>
</file>