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C25E9" w14:textId="73796C0D" w:rsidR="00203340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>DECISÃO MONOCRÁTICA.</w:t>
      </w:r>
      <w:r w:rsidR="00203340">
        <w:rPr>
          <w:rStyle w:val="Forte"/>
        </w:rPr>
        <w:t xml:space="preserve"> PROCESSUAL CIVIL.</w:t>
      </w:r>
      <w:r w:rsidRPr="006E16B9">
        <w:rPr>
          <w:rStyle w:val="Forte"/>
        </w:rPr>
        <w:t xml:space="preserve"> </w:t>
      </w:r>
      <w:r w:rsidR="00203340">
        <w:rPr>
          <w:rStyle w:val="Forte"/>
        </w:rPr>
        <w:t>AGRAVO DE INSTRUMENTO. DESISTÊNCIA. HOMOLOGAÇÃO. INTERESSE RECURSAL.</w:t>
      </w:r>
    </w:p>
    <w:p w14:paraId="6C5AAEFC" w14:textId="77777777" w:rsidR="006E16B9" w:rsidRPr="006E16B9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>I. CASO EM EXAME</w:t>
      </w:r>
    </w:p>
    <w:p w14:paraId="6DF7EFEE" w14:textId="0BD838B5" w:rsidR="006E16B9" w:rsidRPr="006E16B9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>Agravo de instrumento interposto contra decisão negativa de gratuidade de justiça</w:t>
      </w:r>
      <w:r w:rsidR="00203340">
        <w:rPr>
          <w:rStyle w:val="Forte"/>
        </w:rPr>
        <w:t>, com posterior manifestação de desistência recursal.</w:t>
      </w:r>
    </w:p>
    <w:p w14:paraId="5BBC7D5D" w14:textId="77777777" w:rsidR="006E16B9" w:rsidRPr="006E16B9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>II. QUESTÃO EM DISCUSSÃO</w:t>
      </w:r>
    </w:p>
    <w:p w14:paraId="69223505" w14:textId="3678CFA5" w:rsidR="006E16B9" w:rsidRPr="006E16B9" w:rsidRDefault="00203340" w:rsidP="00203340">
      <w:pPr>
        <w:pStyle w:val="NormalWeb"/>
        <w:spacing w:after="240" w:line="360" w:lineRule="auto"/>
        <w:jc w:val="both"/>
        <w:rPr>
          <w:rStyle w:val="Forte"/>
        </w:rPr>
      </w:pPr>
      <w:r>
        <w:rPr>
          <w:rStyle w:val="Forte"/>
        </w:rPr>
        <w:t>Desistência de recurso de natureza voluntária.</w:t>
      </w:r>
    </w:p>
    <w:p w14:paraId="6058F1A8" w14:textId="77777777" w:rsidR="006E16B9" w:rsidRPr="006E16B9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>III. RAZÕES DE DECIDIR</w:t>
      </w:r>
    </w:p>
    <w:p w14:paraId="0337F219" w14:textId="1C70D7BB" w:rsidR="00203340" w:rsidRDefault="00203340" w:rsidP="00203340">
      <w:pPr>
        <w:pStyle w:val="NormalWeb"/>
        <w:spacing w:after="240" w:line="360" w:lineRule="auto"/>
        <w:jc w:val="both"/>
        <w:rPr>
          <w:rStyle w:val="Forte"/>
        </w:rPr>
      </w:pPr>
      <w:r>
        <w:rPr>
          <w:rStyle w:val="Forte"/>
        </w:rPr>
        <w:t xml:space="preserve">A homologação da desistência do recurso, com </w:t>
      </w:r>
      <w:r w:rsidR="00F105FF">
        <w:rPr>
          <w:rStyle w:val="Forte"/>
        </w:rPr>
        <w:t>o</w:t>
      </w:r>
      <w:r>
        <w:rPr>
          <w:rStyle w:val="Forte"/>
        </w:rPr>
        <w:t xml:space="preserve"> consequente esvaziamento do interesse, enseja juízo negativo de admissibilidade.</w:t>
      </w:r>
    </w:p>
    <w:p w14:paraId="3ECF3F37" w14:textId="77777777" w:rsidR="006E16B9" w:rsidRPr="006E16B9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>IV. SOLUÇÃO DO CASO</w:t>
      </w:r>
    </w:p>
    <w:p w14:paraId="2FB8EF22" w14:textId="696CC4EA" w:rsidR="006E16B9" w:rsidRPr="006E16B9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 xml:space="preserve">Recurso </w:t>
      </w:r>
      <w:r w:rsidR="00203340">
        <w:rPr>
          <w:rStyle w:val="Forte"/>
        </w:rPr>
        <w:t>não conhecido</w:t>
      </w:r>
      <w:r w:rsidRPr="006E16B9">
        <w:rPr>
          <w:rStyle w:val="Forte"/>
        </w:rPr>
        <w:t>.</w:t>
      </w:r>
    </w:p>
    <w:p w14:paraId="64BAB022" w14:textId="77777777" w:rsidR="006E16B9" w:rsidRPr="006E16B9" w:rsidRDefault="006E16B9" w:rsidP="00203340">
      <w:pPr>
        <w:pStyle w:val="NormalWeb"/>
        <w:spacing w:after="240" w:line="360" w:lineRule="auto"/>
        <w:jc w:val="both"/>
        <w:rPr>
          <w:rStyle w:val="Forte"/>
        </w:rPr>
      </w:pPr>
      <w:r w:rsidRPr="006E16B9">
        <w:rPr>
          <w:rStyle w:val="Forte"/>
        </w:rPr>
        <w:t>V. JURISPRUDÊNCIA E LEGISLAÇÃO UTILIZADAS</w:t>
      </w:r>
    </w:p>
    <w:p w14:paraId="4B8D7654" w14:textId="77777777" w:rsidR="00203340" w:rsidRDefault="006E16B9" w:rsidP="00203340">
      <w:pPr>
        <w:pStyle w:val="NormalWeb"/>
        <w:spacing w:before="0" w:beforeAutospacing="0" w:after="240" w:afterAutospacing="0" w:line="360" w:lineRule="auto"/>
        <w:jc w:val="both"/>
        <w:rPr>
          <w:rStyle w:val="Forte"/>
        </w:rPr>
      </w:pPr>
      <w:r w:rsidRPr="006E16B9">
        <w:rPr>
          <w:rStyle w:val="Forte"/>
        </w:rPr>
        <w:t>Legislação</w:t>
      </w:r>
    </w:p>
    <w:p w14:paraId="1F8F9509" w14:textId="49473372" w:rsidR="00203340" w:rsidRDefault="00203340" w:rsidP="00203340">
      <w:pPr>
        <w:pStyle w:val="NormalWeb"/>
        <w:spacing w:before="0" w:beforeAutospacing="0" w:after="240" w:afterAutospacing="0" w:line="360" w:lineRule="auto"/>
        <w:jc w:val="both"/>
        <w:rPr>
          <w:rStyle w:val="Forte"/>
        </w:rPr>
      </w:pPr>
      <w:r>
        <w:rPr>
          <w:rStyle w:val="Forte"/>
        </w:rPr>
        <w:t>Código de Processo Civil: art. 998; art. 932, III.</w:t>
      </w:r>
    </w:p>
    <w:p w14:paraId="3384959E" w14:textId="557AEED6" w:rsidR="00203340" w:rsidRDefault="00203340" w:rsidP="00203340">
      <w:pPr>
        <w:pStyle w:val="NormalWeb"/>
        <w:spacing w:before="0" w:beforeAutospacing="0" w:after="240" w:afterAutospacing="0" w:line="360" w:lineRule="auto"/>
        <w:jc w:val="both"/>
        <w:rPr>
          <w:rStyle w:val="Forte"/>
        </w:rPr>
      </w:pPr>
      <w:r>
        <w:rPr>
          <w:rStyle w:val="Forte"/>
        </w:rPr>
        <w:t>Regimento Interno do Tribunal de Justiça do Estado do Paraná: art. 182, XVI.</w:t>
      </w:r>
    </w:p>
    <w:p w14:paraId="23A662A6" w14:textId="77777777" w:rsidR="006E16B9" w:rsidRDefault="006E16B9" w:rsidP="006E16B9">
      <w:pPr>
        <w:pStyle w:val="NormalWeb"/>
        <w:spacing w:before="0" w:beforeAutospacing="0" w:after="240" w:afterAutospacing="0" w:line="360" w:lineRule="auto"/>
        <w:ind w:firstLine="709"/>
        <w:jc w:val="both"/>
        <w:rPr>
          <w:rStyle w:val="Forte"/>
        </w:rPr>
      </w:pPr>
    </w:p>
    <w:p w14:paraId="7EDFC643" w14:textId="1A03ECF6" w:rsidR="00202078" w:rsidRDefault="00202078" w:rsidP="006E16B9">
      <w:pPr>
        <w:pStyle w:val="NormalWeb"/>
        <w:spacing w:before="0" w:beforeAutospacing="0" w:after="240" w:afterAutospacing="0" w:line="360" w:lineRule="auto"/>
        <w:ind w:firstLine="709"/>
        <w:jc w:val="both"/>
        <w:rPr>
          <w:rStyle w:val="Forte"/>
        </w:rPr>
      </w:pPr>
      <w:r>
        <w:rPr>
          <w:rStyle w:val="Forte"/>
        </w:rPr>
        <w:t>I – RELATÓRIO</w:t>
      </w:r>
    </w:p>
    <w:p w14:paraId="3A3EF2C0" w14:textId="7BB54367" w:rsidR="006E16B9" w:rsidRDefault="00202078" w:rsidP="006E16B9">
      <w:pPr>
        <w:pStyle w:val="NormalWeb"/>
        <w:spacing w:before="240" w:beforeAutospacing="0" w:after="240" w:afterAutospacing="0" w:line="360" w:lineRule="auto"/>
        <w:ind w:firstLine="709"/>
        <w:jc w:val="both"/>
        <w:rPr>
          <w:rStyle w:val="Forte"/>
          <w:b w:val="0"/>
        </w:rPr>
      </w:pPr>
      <w:r>
        <w:rPr>
          <w:rStyle w:val="Forte"/>
          <w:b w:val="0"/>
        </w:rPr>
        <w:t>Cuida-se de agravo interno interposto por</w:t>
      </w:r>
      <w:r w:rsidR="006E16B9">
        <w:rPr>
          <w:rStyle w:val="Forte"/>
          <w:b w:val="0"/>
        </w:rPr>
        <w:t xml:space="preserve"> Henrique Lemos da Silva em face de Itaú Unibanco S. A. e Proença Comércio de Veículos Ltda. e Proença Comércio de Veículos Ltda. (evento 1.1).</w:t>
      </w:r>
    </w:p>
    <w:p w14:paraId="1ED826C8" w14:textId="0D3E6EE0" w:rsidR="006E16B9" w:rsidRDefault="006E16B9" w:rsidP="006E16B9">
      <w:pPr>
        <w:pStyle w:val="NormalWeb"/>
        <w:spacing w:before="240" w:beforeAutospacing="0" w:after="240" w:afterAutospacing="0" w:line="360" w:lineRule="auto"/>
        <w:ind w:firstLine="709"/>
        <w:jc w:val="both"/>
        <w:rPr>
          <w:rStyle w:val="Forte"/>
          <w:b w:val="0"/>
        </w:rPr>
      </w:pPr>
      <w:r>
        <w:rPr>
          <w:rStyle w:val="Forte"/>
          <w:b w:val="0"/>
        </w:rPr>
        <w:lastRenderedPageBreak/>
        <w:t>Instada a instruir seu pedido de gratuidade da justiça, a parte agravante manifestou desistência do recurso interposto (evento 17.1).</w:t>
      </w:r>
    </w:p>
    <w:p w14:paraId="0202925E" w14:textId="77777777" w:rsidR="00202078" w:rsidRDefault="00202078" w:rsidP="006E16B9">
      <w:pPr>
        <w:pStyle w:val="NormalWeb"/>
        <w:spacing w:before="0" w:beforeAutospacing="0" w:after="240" w:afterAutospacing="0" w:line="360" w:lineRule="auto"/>
        <w:ind w:firstLine="709"/>
        <w:jc w:val="both"/>
        <w:rPr>
          <w:rStyle w:val="Forte"/>
          <w:b w:val="0"/>
        </w:rPr>
      </w:pPr>
      <w:r>
        <w:rPr>
          <w:rStyle w:val="Forte"/>
          <w:b w:val="0"/>
        </w:rPr>
        <w:t>É o relatório.</w:t>
      </w:r>
    </w:p>
    <w:p w14:paraId="37B5D952" w14:textId="77777777" w:rsidR="00202078" w:rsidRDefault="00202078" w:rsidP="006E16B9">
      <w:pPr>
        <w:pStyle w:val="NormalWeb"/>
        <w:spacing w:before="0" w:beforeAutospacing="0" w:after="240" w:afterAutospacing="0" w:line="360" w:lineRule="auto"/>
        <w:ind w:firstLine="709"/>
        <w:jc w:val="both"/>
        <w:rPr>
          <w:rStyle w:val="Forte"/>
          <w:b w:val="0"/>
        </w:rPr>
      </w:pPr>
    </w:p>
    <w:p w14:paraId="565EE8F8" w14:textId="77777777" w:rsidR="00202078" w:rsidRDefault="00202078" w:rsidP="006E16B9">
      <w:pPr>
        <w:pStyle w:val="NormalWeb"/>
        <w:spacing w:before="120" w:beforeAutospacing="0" w:after="240" w:afterAutospacing="0" w:line="360" w:lineRule="auto"/>
        <w:ind w:firstLine="709"/>
        <w:jc w:val="both"/>
        <w:rPr>
          <w:b/>
        </w:rPr>
      </w:pPr>
      <w:r>
        <w:rPr>
          <w:rStyle w:val="Forte"/>
        </w:rPr>
        <w:t>II – FUNDAMENTAÇÃO</w:t>
      </w:r>
    </w:p>
    <w:p w14:paraId="121C5C32" w14:textId="1671CFE4" w:rsidR="00202078" w:rsidRDefault="00202078" w:rsidP="006E16B9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t xml:space="preserve">Homologa-se o requerimento de desistência recursal, para que produza seus legais e jurídicos efeitos, </w:t>
      </w:r>
      <w:r>
        <w:rPr>
          <w:i/>
          <w:iCs/>
        </w:rPr>
        <w:t>ex vi</w:t>
      </w:r>
      <w:r>
        <w:t xml:space="preserve"> do disposto no art</w:t>
      </w:r>
      <w:r w:rsidR="006E16B9">
        <w:t>igo</w:t>
      </w:r>
      <w:r>
        <w:t xml:space="preserve"> 998 do Código de Processo Civil.</w:t>
      </w:r>
    </w:p>
    <w:p w14:paraId="14FCB6D4" w14:textId="77777777" w:rsidR="006E16B9" w:rsidRDefault="006E16B9" w:rsidP="006E16B9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t>Como consequência, impõe-se juízo negativo de admissibilidade.</w:t>
      </w:r>
    </w:p>
    <w:p w14:paraId="3E1C60CD" w14:textId="27410983" w:rsidR="00202078" w:rsidRDefault="00202078" w:rsidP="006E16B9">
      <w:pPr>
        <w:pStyle w:val="NormalWeb"/>
        <w:spacing w:before="120" w:beforeAutospacing="0" w:after="240" w:afterAutospacing="0" w:line="360" w:lineRule="auto"/>
        <w:ind w:firstLine="709"/>
        <w:jc w:val="both"/>
      </w:pPr>
    </w:p>
    <w:p w14:paraId="61BA6B44" w14:textId="77777777" w:rsidR="00202078" w:rsidRDefault="00202078" w:rsidP="006E16B9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rPr>
          <w:rStyle w:val="Forte"/>
        </w:rPr>
        <w:t>III- DECISÃO</w:t>
      </w:r>
    </w:p>
    <w:p w14:paraId="47B204E4" w14:textId="171439B5" w:rsidR="00202078" w:rsidRDefault="00202078" w:rsidP="006E16B9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t>Ante o exposto, com fundamento no art</w:t>
      </w:r>
      <w:r w:rsidR="006E16B9">
        <w:t>igo</w:t>
      </w:r>
      <w:r>
        <w:t xml:space="preserve"> 932, </w:t>
      </w:r>
      <w:r w:rsidR="006E16B9">
        <w:t xml:space="preserve">inciso </w:t>
      </w:r>
      <w:r>
        <w:t>III, do Código de Processo Civil e no art</w:t>
      </w:r>
      <w:r w:rsidR="006E16B9">
        <w:t xml:space="preserve">igo </w:t>
      </w:r>
      <w:r>
        <w:t xml:space="preserve">182, </w:t>
      </w:r>
      <w:r w:rsidR="006E16B9">
        <w:t xml:space="preserve">inciso </w:t>
      </w:r>
      <w:r>
        <w:t>XVI, do Regimento Interno do Tribunal de Justiça do Estado do Paraná, não se conhece do presente recurso.</w:t>
      </w:r>
    </w:p>
    <w:p w14:paraId="037930D5" w14:textId="77777777" w:rsidR="00203340" w:rsidRDefault="005C52B4" w:rsidP="00203340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t>Intimem-se</w:t>
      </w:r>
      <w:r w:rsidR="00203340">
        <w:t>.</w:t>
      </w:r>
    </w:p>
    <w:p w14:paraId="13727BF8" w14:textId="1DB65111" w:rsidR="001B6A8B" w:rsidRDefault="00203340" w:rsidP="00203340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t>O</w:t>
      </w:r>
      <w:r w:rsidR="005C52B4">
        <w:t>portunamente, arquivem-se.</w:t>
      </w:r>
    </w:p>
    <w:sectPr w:rsidR="001B6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078"/>
    <w:rsid w:val="001B6A8B"/>
    <w:rsid w:val="00202078"/>
    <w:rsid w:val="00203340"/>
    <w:rsid w:val="0033736C"/>
    <w:rsid w:val="00427B31"/>
    <w:rsid w:val="00533573"/>
    <w:rsid w:val="005A5CAE"/>
    <w:rsid w:val="005C52B4"/>
    <w:rsid w:val="006E16B9"/>
    <w:rsid w:val="006E61D6"/>
    <w:rsid w:val="008D59A1"/>
    <w:rsid w:val="009A5EAA"/>
    <w:rsid w:val="00B66FDC"/>
    <w:rsid w:val="00C51D5B"/>
    <w:rsid w:val="00F105FF"/>
    <w:rsid w:val="00F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F7DD"/>
  <w15:chartTrackingRefBased/>
  <w15:docId w15:val="{00674FBA-72E7-47C2-A32C-DA7F0C76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O-normal">
    <w:name w:val="LO-normal"/>
    <w:uiPriority w:val="99"/>
    <w:qFormat/>
    <w:rsid w:val="00202078"/>
    <w:pPr>
      <w:suppressAutoHyphens/>
      <w:spacing w:line="276" w:lineRule="auto"/>
    </w:pPr>
    <w:rPr>
      <w:rFonts w:ascii="Aptos" w:eastAsia="Aptos" w:hAnsi="Aptos" w:cs="Aptos"/>
      <w:sz w:val="24"/>
      <w:szCs w:val="24"/>
      <w:lang w:eastAsia="zh-CN" w:bidi="hi-IN"/>
    </w:rPr>
  </w:style>
  <w:style w:type="character" w:styleId="Forte">
    <w:name w:val="Strong"/>
    <w:basedOn w:val="Fontepargpadro"/>
    <w:uiPriority w:val="22"/>
    <w:qFormat/>
    <w:rsid w:val="00202078"/>
    <w:rPr>
      <w:b/>
      <w:bCs/>
    </w:rPr>
  </w:style>
  <w:style w:type="paragraph" w:styleId="Reviso">
    <w:name w:val="Revision"/>
    <w:hidden/>
    <w:uiPriority w:val="99"/>
    <w:semiHidden/>
    <w:rsid w:val="005C52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1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68DCB-4626-4432-89FE-4CEE61751C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588F80-C197-491D-B648-6F047B5BFB27}"/>
</file>

<file path=customXml/itemProps3.xml><?xml version="1.0" encoding="utf-8"?>
<ds:datastoreItem xmlns:ds="http://schemas.openxmlformats.org/officeDocument/2006/customXml" ds:itemID="{6B2349F0-A7B0-4FA5-A37B-D4D502D8AC73}"/>
</file>

<file path=customXml/itemProps4.xml><?xml version="1.0" encoding="utf-8"?>
<ds:datastoreItem xmlns:ds="http://schemas.openxmlformats.org/officeDocument/2006/customXml" ds:itemID="{E80A93D7-9AB4-4BAC-A227-C709197FF3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Gebran Schirmer</dc:creator>
  <cp:keywords/>
  <dc:description/>
  <cp:lastModifiedBy>Cleysson Willian Vilaca de Jesus</cp:lastModifiedBy>
  <cp:revision>5</cp:revision>
  <dcterms:created xsi:type="dcterms:W3CDTF">2025-02-05T19:55:00Z</dcterms:created>
  <dcterms:modified xsi:type="dcterms:W3CDTF">2025-03-14T17:53:00Z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318400</vt:r8>
  </property>
</Properties>
</file>