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12" w:rsidRDefault="00387D12" w:rsidP="002B488C">
      <w:pPr>
        <w:ind w:firstLine="0"/>
        <w:rPr>
          <w:b/>
        </w:rPr>
      </w:pPr>
      <w:r>
        <w:rPr>
          <w:b/>
        </w:rPr>
        <w:t xml:space="preserve">PENAL. PROCESSUAL PENAL. EXECUÇÃO PENAL. AGRAVO. REVOGAÇÃO DA MONITORAÇÃO ELETRÔNICA. REGIME SEMIABERTO HARMONIZADO. DECISÃO NÃO IMPUGNADA POR RECURSO PRÓPRIO. </w:t>
      </w:r>
      <w:r>
        <w:rPr>
          <w:b/>
        </w:rPr>
        <w:t xml:space="preserve">PRECLUSÃO </w:t>
      </w:r>
      <w:r w:rsidRPr="00387D12">
        <w:rPr>
          <w:b/>
          <w:i/>
        </w:rPr>
        <w:t xml:space="preserve">PRO </w:t>
      </w:r>
      <w:proofErr w:type="spellStart"/>
      <w:r w:rsidRPr="00387D12">
        <w:rPr>
          <w:b/>
          <w:i/>
        </w:rPr>
        <w:t>JUDICATO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rPr>
          <w:b/>
          <w:i/>
        </w:rPr>
        <w:t xml:space="preserve">REBUS SIC </w:t>
      </w:r>
      <w:proofErr w:type="spellStart"/>
      <w:r>
        <w:rPr>
          <w:b/>
          <w:i/>
        </w:rPr>
        <w:t>STANDIBUS</w:t>
      </w:r>
      <w:proofErr w:type="spellEnd"/>
      <w:r>
        <w:rPr>
          <w:b/>
        </w:rPr>
        <w:t>. REVISÃO DAS CONDIÇÕES. AUSÊNCIA DE ALTERAÇÃO DE FATO E DIREITO. IMPOSSIBILIDADE. REGRESSÃO CAUTELAR DE REGIME POR INFRAÇÃO POSTERIOR. RECURSO CONHECIDO E DESPROVIDO.</w:t>
      </w:r>
    </w:p>
    <w:p w:rsidR="002B488C" w:rsidRDefault="0012191C" w:rsidP="002B488C">
      <w:pPr>
        <w:ind w:firstLine="0"/>
        <w:rPr>
          <w:b/>
        </w:rPr>
      </w:pPr>
      <w:r>
        <w:rPr>
          <w:b/>
        </w:rPr>
        <w:t>1. Preclusa a possiblidade de impugnação da decisão que impôs a monitoração eletrônica para concessão do regime semiaberto harmonizado, a revogação dessa condição exige superação do quadro fático-jurídico anterior. Inteligência do artigo 116, da Lei de Execução Penal.</w:t>
      </w:r>
    </w:p>
    <w:p w:rsidR="0012191C" w:rsidRDefault="0012191C" w:rsidP="002B488C">
      <w:pPr>
        <w:ind w:firstLine="0"/>
        <w:rPr>
          <w:b/>
        </w:rPr>
      </w:pPr>
      <w:r>
        <w:rPr>
          <w:b/>
        </w:rPr>
        <w:t>2. Recurso conhecido e desprovido.</w:t>
      </w:r>
    </w:p>
    <w:p w:rsidR="0012191C" w:rsidRPr="002B488C" w:rsidRDefault="0012191C" w:rsidP="002B488C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442723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A2355C">
        <w:t>ag</w:t>
      </w:r>
      <w:r w:rsidR="00442723">
        <w:t>ravo interposto por Luiz Henrique do Rosário</w:t>
      </w:r>
      <w:r w:rsidR="00CF1CDF">
        <w:t>, tendo como objeto decisão proferida pelo juízo da V</w:t>
      </w:r>
      <w:r w:rsidR="00CF1CDF" w:rsidRPr="00CF1CDF">
        <w:t>ara de Execução em Meio Fechado e Semiaberto de</w:t>
      </w:r>
      <w:r w:rsidR="00CF1CDF">
        <w:t xml:space="preserve"> </w:t>
      </w:r>
      <w:proofErr w:type="spellStart"/>
      <w:r w:rsidR="00CF1CDF">
        <w:t>Mamborê</w:t>
      </w:r>
      <w:proofErr w:type="spellEnd"/>
      <w:r w:rsidR="00A91E8D">
        <w:t xml:space="preserve">, que indeferiu pedido de revogação da condição de monitoração eletrônica (evento 171.1 – </w:t>
      </w:r>
      <w:proofErr w:type="spellStart"/>
      <w:r w:rsidR="00A91E8D">
        <w:t>SEEU</w:t>
      </w:r>
      <w:proofErr w:type="spellEnd"/>
      <w:r w:rsidR="00A91E8D">
        <w:t>).</w:t>
      </w:r>
    </w:p>
    <w:p w:rsidR="00A91E8D" w:rsidRDefault="00A91E8D" w:rsidP="00AA28DF">
      <w:pPr>
        <w:pStyle w:val="PargrafodaLista"/>
        <w:ind w:left="0"/>
        <w:contextualSpacing w:val="0"/>
      </w:pPr>
      <w:r>
        <w:t>Eis, em síntese, as razões de inconformismo: a) inexiste registro do cometimento de novos crimes ou descumprimento das condições impostas para o regime semiaberto;</w:t>
      </w:r>
      <w:r w:rsidR="007C3441">
        <w:t xml:space="preserve"> b) inexiste imposição legal de aplicação da medida de monitoração eletrônica no regime semiaberto harmonizado; c) não há fundamento concreto a justificar aplicação da monitoração (evento 193.1 – </w:t>
      </w:r>
      <w:proofErr w:type="spellStart"/>
      <w:r w:rsidR="007C3441">
        <w:t>SEEU</w:t>
      </w:r>
      <w:proofErr w:type="spellEnd"/>
      <w:r w:rsidR="007C3441">
        <w:t>).</w:t>
      </w:r>
    </w:p>
    <w:p w:rsidR="00AA28DF" w:rsidRDefault="00A91E8D" w:rsidP="00AA28DF">
      <w:pPr>
        <w:pStyle w:val="PargrafodaLista"/>
        <w:ind w:left="0"/>
        <w:contextualSpacing w:val="0"/>
      </w:pPr>
      <w:r>
        <w:t xml:space="preserve">Nas contrarrazões, o Ministério Público argumentou que: a) a monitoração eletrônica é condição essencial para o regime semiaberto harmonizado; b) o pedido defensivo é demasiadamente abstrato e não possui fundamentação jurídica plausível; c) a monitoração eletrônica constitui benefício, pois a implantação do regime semiaberto regular seria medida mais gravosa (evento 193.1 – </w:t>
      </w:r>
      <w:proofErr w:type="spellStart"/>
      <w:r>
        <w:t>SEEU</w:t>
      </w:r>
      <w:proofErr w:type="spellEnd"/>
      <w:r>
        <w:t>).</w:t>
      </w:r>
    </w:p>
    <w:p w:rsidR="00A91E8D" w:rsidRDefault="00A91E8D" w:rsidP="00AA28DF">
      <w:pPr>
        <w:pStyle w:val="PargrafodaLista"/>
        <w:ind w:left="0"/>
        <w:contextualSpacing w:val="0"/>
      </w:pPr>
      <w:r>
        <w:lastRenderedPageBreak/>
        <w:t>Opinou a Procuradoria-Geral de Justiça pelo conhecimento e desprovimento do recurso (evento 13.1).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442723" w:rsidRDefault="00442723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442723" w:rsidRDefault="00442723" w:rsidP="00877419">
      <w:pPr>
        <w:pStyle w:val="PargrafodaLista"/>
        <w:ind w:left="0"/>
        <w:contextualSpacing w:val="0"/>
      </w:pPr>
    </w:p>
    <w:p w:rsidR="00442723" w:rsidRDefault="00442723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</w:t>
      </w:r>
      <w:r w:rsidR="00CF1CDF">
        <w:t>MONITORAÇÃO ELETRÔNICA</w:t>
      </w:r>
    </w:p>
    <w:p w:rsidR="00CF1CDF" w:rsidRDefault="007C3441" w:rsidP="00877419">
      <w:pPr>
        <w:pStyle w:val="PargrafodaLista"/>
        <w:ind w:left="0"/>
        <w:contextualSpacing w:val="0"/>
      </w:pPr>
      <w:r>
        <w:t>Cinge-se a controvérsia recursal à pretensão de reforma de decisão que indeferiu a retirada de aparelho de monitoração eletrônica, sob argumento de inexistência de razões fáticas que determinem sua utilização.</w:t>
      </w:r>
    </w:p>
    <w:p w:rsidR="0012191C" w:rsidRDefault="007C3441" w:rsidP="00921D1B">
      <w:pPr>
        <w:pStyle w:val="PargrafodaLista"/>
        <w:ind w:left="0"/>
        <w:contextualSpacing w:val="0"/>
      </w:pPr>
      <w:r>
        <w:t xml:space="preserve">A despeito da </w:t>
      </w:r>
      <w:r w:rsidR="005253F0">
        <w:t>invectiva</w:t>
      </w:r>
      <w:r>
        <w:t xml:space="preserve"> defensiva,</w:t>
      </w:r>
      <w:r w:rsidR="0012191C">
        <w:t xml:space="preserve"> conquanto seja possível a modificação das condições estabelecidas para o cumprimento de pena em determinado regime, </w:t>
      </w:r>
      <w:r w:rsidR="00142CCD">
        <w:t>devem ser observadas, segundo o princípio da individualização da pena (</w:t>
      </w:r>
      <w:proofErr w:type="spellStart"/>
      <w:r w:rsidR="00142CCD">
        <w:t>CF</w:t>
      </w:r>
      <w:proofErr w:type="spellEnd"/>
      <w:r w:rsidR="00142CCD">
        <w:t xml:space="preserve">, art. 5º, </w:t>
      </w:r>
      <w:proofErr w:type="spellStart"/>
      <w:r w:rsidR="00142CCD">
        <w:t>XLVI</w:t>
      </w:r>
      <w:proofErr w:type="spellEnd"/>
      <w:r w:rsidR="00142CCD">
        <w:t>), as circunstâncias do caso concreto.</w:t>
      </w:r>
    </w:p>
    <w:p w:rsidR="00921D1B" w:rsidRDefault="00142CCD" w:rsidP="00142CCD">
      <w:pPr>
        <w:pStyle w:val="PargrafodaLista"/>
        <w:ind w:left="0"/>
        <w:contextualSpacing w:val="0"/>
      </w:pPr>
      <w:r>
        <w:t xml:space="preserve">Quando da prolação de decisão </w:t>
      </w:r>
      <w:r w:rsidR="007C3441">
        <w:t>con</w:t>
      </w:r>
      <w:r w:rsidR="005253F0">
        <w:t xml:space="preserve">cessiva de progressão de regime, </w:t>
      </w:r>
      <w:r>
        <w:t xml:space="preserve">a conclusão de que as circunstâncias recomendavam a inclusão do apenado em regime de monitoração eletrônica </w:t>
      </w:r>
      <w:r w:rsidR="005253F0">
        <w:t xml:space="preserve">(evento 109.1 – </w:t>
      </w:r>
      <w:proofErr w:type="spellStart"/>
      <w:r w:rsidR="005253F0">
        <w:t>SEEU</w:t>
      </w:r>
      <w:proofErr w:type="spellEnd"/>
      <w:r w:rsidR="005253F0">
        <w:t>)</w:t>
      </w:r>
      <w:r>
        <w:t xml:space="preserve"> não foi impugnada a tempo e modo, pela via recursal adequada (</w:t>
      </w:r>
      <w:proofErr w:type="spellStart"/>
      <w:r>
        <w:t>LEP</w:t>
      </w:r>
      <w:proofErr w:type="spellEnd"/>
      <w:r>
        <w:t>, art. 197).</w:t>
      </w:r>
    </w:p>
    <w:p w:rsidR="00142CCD" w:rsidRPr="00142CCD" w:rsidRDefault="00142CCD" w:rsidP="00142CCD">
      <w:pPr>
        <w:pStyle w:val="PargrafodaLista"/>
        <w:ind w:left="0"/>
        <w:contextualSpacing w:val="0"/>
        <w:rPr>
          <w:i/>
        </w:rPr>
      </w:pPr>
      <w:r>
        <w:t xml:space="preserve">Nas relações jurídicas de trato continuado, tanto assim considerada a execução de pena criminal, a revisão das condições impostas para o cumprimento de determinado regime submete-se à clausula </w:t>
      </w:r>
      <w:r>
        <w:rPr>
          <w:i/>
        </w:rPr>
        <w:t xml:space="preserve">rebus sic </w:t>
      </w:r>
      <w:proofErr w:type="spellStart"/>
      <w:r>
        <w:rPr>
          <w:i/>
        </w:rPr>
        <w:t>standibus</w:t>
      </w:r>
      <w:proofErr w:type="spellEnd"/>
      <w:r>
        <w:t>, de modo que a revisão das condições impostas pressup</w:t>
      </w:r>
      <w:r w:rsidR="00387D12">
        <w:t>õe alteração de fato ou direito a autorizar possiblidade de modificação do pronunciamento anterior.</w:t>
      </w:r>
    </w:p>
    <w:p w:rsidR="00142CCD" w:rsidRDefault="00142CCD" w:rsidP="00142CCD">
      <w:pPr>
        <w:pStyle w:val="PargrafodaLista"/>
        <w:ind w:left="0"/>
        <w:contextualSpacing w:val="0"/>
      </w:pPr>
      <w:r>
        <w:lastRenderedPageBreak/>
        <w:t>É o que se dessume da regra decisória inserida no artigo 505, inciso I, do Código de Processo Civil</w:t>
      </w:r>
      <w:r w:rsidR="00387D12">
        <w:t>, de aplicação compulsória à presente controvérsia, nos termos do artigo 3º, do Código de Processo Penal.</w:t>
      </w:r>
    </w:p>
    <w:p w:rsidR="00AB775F" w:rsidRPr="00AB775F" w:rsidRDefault="00AB775F" w:rsidP="00921D1B">
      <w:pPr>
        <w:pStyle w:val="PargrafodaLista"/>
        <w:ind w:left="0"/>
        <w:contextualSpacing w:val="0"/>
      </w:pPr>
      <w:r>
        <w:t>Sobre o tema:</w:t>
      </w:r>
    </w:p>
    <w:p w:rsidR="00AB775F" w:rsidRPr="00AB775F" w:rsidRDefault="00AB775F" w:rsidP="00AB775F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AB775F">
        <w:rPr>
          <w:sz w:val="20"/>
        </w:rPr>
        <w:t xml:space="preserve">HABEAS CORPUS. EXECUÇÃO PENAL. REGRESSÃO A REGIME MAIS SEVERO QUE O IMPOSTO NA SENTENÇA CONDENATÓRIA. ADMISSIBILIDADE. PRÁTICA DE NOVO DELITO DOLOSO. FALTA GRAVE. INTELIGÊNCIA DO ART. 118, I, DA LEI DE </w:t>
      </w:r>
      <w:r w:rsidRPr="00AB775F">
        <w:rPr>
          <w:sz w:val="20"/>
        </w:rPr>
        <w:t>EXECUÇÕES</w:t>
      </w:r>
      <w:r w:rsidRPr="00AB775F">
        <w:rPr>
          <w:sz w:val="20"/>
        </w:rPr>
        <w:t xml:space="preserve"> PENAIS. INADAPTAÇÃO DO CONDENADO AO REGIME ANTERIORMENTE FIXADO.</w:t>
      </w:r>
      <w:r>
        <w:rPr>
          <w:sz w:val="20"/>
        </w:rPr>
        <w:t xml:space="preserve"> </w:t>
      </w:r>
      <w:r w:rsidRPr="00AB775F">
        <w:rPr>
          <w:sz w:val="20"/>
        </w:rPr>
        <w:t>CLÁUSULA REBUS SIC STANTIBUS. AUSÊNCIA DE VIOLAÇÃO À COISA JULGADA E AO DIREITO ADQUIRIDO.</w:t>
      </w:r>
      <w:r>
        <w:rPr>
          <w:sz w:val="20"/>
        </w:rPr>
        <w:t xml:space="preserve"> </w:t>
      </w:r>
      <w:r w:rsidRPr="00AB775F">
        <w:rPr>
          <w:sz w:val="20"/>
        </w:rPr>
        <w:t>PRECEDENTES DO STF. PEDIDO IMPROCEDENTE.</w:t>
      </w:r>
      <w:r>
        <w:rPr>
          <w:sz w:val="20"/>
        </w:rPr>
        <w:t xml:space="preserve"> </w:t>
      </w:r>
      <w:r w:rsidRPr="00AB775F">
        <w:rPr>
          <w:sz w:val="20"/>
        </w:rPr>
        <w:t xml:space="preserve">a) A execução da pena é flexível e respeita a individualidade de cada condenado e, portanto, havendo merecimento, a tendência é a finalização da pena no regime mais brando, que é o aberto. Todavia, se foram cometidas faltas, demonstrando a inadaptação do condenado ao regime no qual está implantado, poderá haver a regressão. b) A sentença penal condenatória transita em julgado, quanto à forma de execução, com a cláusula rebus sic stantibus, ou seja, ela é imutável enquanto os fatos permanecerem os mesmos. </w:t>
      </w:r>
      <w:r w:rsidRPr="00AB775F">
        <w:rPr>
          <w:b/>
          <w:sz w:val="20"/>
        </w:rPr>
        <w:t>Havendo alteração no quadro fático, no curso da execução, deve o juiz adotar as medidas necessárias para adequar a decisão à nova realidade.</w:t>
      </w:r>
      <w:r>
        <w:rPr>
          <w:sz w:val="20"/>
        </w:rPr>
        <w:t xml:space="preserve"> (</w:t>
      </w:r>
      <w:proofErr w:type="spellStart"/>
      <w:r>
        <w:rPr>
          <w:sz w:val="20"/>
        </w:rPr>
        <w:t>TJPR</w:t>
      </w:r>
      <w:proofErr w:type="spellEnd"/>
      <w:r>
        <w:rPr>
          <w:sz w:val="20"/>
        </w:rPr>
        <w:t xml:space="preserve">. 3ª Câmara Criminal. Relator: Rogério </w:t>
      </w:r>
      <w:proofErr w:type="spellStart"/>
      <w:r>
        <w:rPr>
          <w:sz w:val="20"/>
        </w:rPr>
        <w:t>Luis</w:t>
      </w:r>
      <w:proofErr w:type="spellEnd"/>
      <w:r>
        <w:rPr>
          <w:sz w:val="20"/>
        </w:rPr>
        <w:t xml:space="preserve"> Nielsen </w:t>
      </w:r>
      <w:proofErr w:type="spellStart"/>
      <w:r>
        <w:rPr>
          <w:sz w:val="20"/>
        </w:rPr>
        <w:t>Kanayama</w:t>
      </w:r>
      <w:proofErr w:type="spellEnd"/>
      <w:r>
        <w:rPr>
          <w:sz w:val="20"/>
        </w:rPr>
        <w:t xml:space="preserve">. </w:t>
      </w:r>
      <w:r w:rsidRPr="00AB775F">
        <w:rPr>
          <w:sz w:val="20"/>
        </w:rPr>
        <w:t>1496509-8</w:t>
      </w:r>
      <w:r>
        <w:rPr>
          <w:sz w:val="20"/>
        </w:rPr>
        <w:t>.</w:t>
      </w:r>
      <w:r w:rsidRPr="00AB775F">
        <w:rPr>
          <w:sz w:val="20"/>
        </w:rPr>
        <w:t xml:space="preserve"> Colombo</w:t>
      </w:r>
      <w:r>
        <w:rPr>
          <w:sz w:val="20"/>
        </w:rPr>
        <w:t>. Data de julgamento: 10/03/2016. Data de publicação:</w:t>
      </w:r>
      <w:r w:rsidRPr="00AB775F">
        <w:rPr>
          <w:sz w:val="20"/>
        </w:rPr>
        <w:t xml:space="preserve"> 30/03/2016)</w:t>
      </w:r>
      <w:r>
        <w:rPr>
          <w:sz w:val="20"/>
        </w:rPr>
        <w:t>.</w:t>
      </w:r>
    </w:p>
    <w:p w:rsidR="00B833C0" w:rsidRDefault="00F36F56" w:rsidP="00877419">
      <w:pPr>
        <w:pStyle w:val="PargrafodaLista"/>
        <w:ind w:left="0"/>
        <w:contextualSpacing w:val="0"/>
      </w:pPr>
      <w:r>
        <w:t>Ademais, sobreveio notícia de regressão cautelar do regime prisional à razão do rompimento do equipamento de monitoração e fuga do domicílio de residência</w:t>
      </w:r>
      <w:r w:rsidR="00B833C0">
        <w:t xml:space="preserve">, bem como de prisão em flagrante e recebimento de denúncia por novo fato penalmente relevante (autos nº </w:t>
      </w:r>
      <w:r w:rsidR="00B833C0" w:rsidRPr="00B833C0">
        <w:t>0001094-29.2023.8.16.0107</w:t>
      </w:r>
      <w:r w:rsidR="00B833C0">
        <w:t>).</w:t>
      </w:r>
    </w:p>
    <w:p w:rsidR="0012191C" w:rsidRDefault="00B833C0" w:rsidP="00877419">
      <w:pPr>
        <w:pStyle w:val="PargrafodaLista"/>
        <w:ind w:left="0"/>
        <w:contextualSpacing w:val="0"/>
      </w:pPr>
      <w:r>
        <w:t>Tais inferências denotam a inadequação da</w:t>
      </w:r>
      <w:r w:rsidR="0012191C">
        <w:t xml:space="preserve"> isenção do apenado para o regime semiaberto harmonizado, posto que o comportamento apresentado no respectivo interlúdio denota, ao menos em primeira análise, presenta de elementos justificadores do recrudescimento da reprimenda.</w:t>
      </w:r>
    </w:p>
    <w:p w:rsidR="00F36F56" w:rsidRDefault="0012191C" w:rsidP="00877419">
      <w:pPr>
        <w:pStyle w:val="PargrafodaLista"/>
        <w:ind w:left="0"/>
        <w:contextualSpacing w:val="0"/>
      </w:pPr>
      <w:r>
        <w:lastRenderedPageBreak/>
        <w:t>Nessas condições, ausente demonstração, empiricamente verificável, de alteração fática-jurídica em benefício do agravante, a manutenção da decisão sufragada revela-se impositiva.</w:t>
      </w:r>
    </w:p>
    <w:p w:rsidR="0012191C" w:rsidRDefault="0012191C" w:rsidP="00877419">
      <w:pPr>
        <w:pStyle w:val="PargrafodaLista"/>
        <w:ind w:left="0"/>
        <w:contextualSpacing w:val="0"/>
      </w:pPr>
    </w:p>
    <w:p w:rsidR="00AA28DF" w:rsidRDefault="00CF1CDF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442723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 consiste</w:t>
      </w:r>
      <w:r w:rsidR="00442723">
        <w:t xml:space="preserve"> em conhecer e julgar desprovido 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CF1CDF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2191C"/>
    <w:rsid w:val="00142CCD"/>
    <w:rsid w:val="00165C47"/>
    <w:rsid w:val="002B488C"/>
    <w:rsid w:val="00387D12"/>
    <w:rsid w:val="00442723"/>
    <w:rsid w:val="005253F0"/>
    <w:rsid w:val="00672942"/>
    <w:rsid w:val="007C3441"/>
    <w:rsid w:val="00877419"/>
    <w:rsid w:val="00921D1B"/>
    <w:rsid w:val="00A2355C"/>
    <w:rsid w:val="00A91E8D"/>
    <w:rsid w:val="00AA28DF"/>
    <w:rsid w:val="00AB775F"/>
    <w:rsid w:val="00AE47D1"/>
    <w:rsid w:val="00B833C0"/>
    <w:rsid w:val="00CF1CDF"/>
    <w:rsid w:val="00F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607F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D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BA721-2DF1-463A-AB2F-B6B6454A8A70}"/>
</file>

<file path=customXml/itemProps2.xml><?xml version="1.0" encoding="utf-8"?>
<ds:datastoreItem xmlns:ds="http://schemas.openxmlformats.org/officeDocument/2006/customXml" ds:itemID="{D91203A2-CAF9-4CB8-9E19-E670B7AA380F}"/>
</file>

<file path=customXml/itemProps3.xml><?xml version="1.0" encoding="utf-8"?>
<ds:datastoreItem xmlns:ds="http://schemas.openxmlformats.org/officeDocument/2006/customXml" ds:itemID="{5D7B2934-2E4C-4094-A263-163437E021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2024-04-04T20:21:00Z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356800</vt:r8>
  </property>
</Properties>
</file>