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93F" w:rsidRPr="009C3EF0" w:rsidRDefault="0038193F" w:rsidP="0038193F">
      <w:pPr>
        <w:ind w:firstLine="0"/>
        <w:rPr>
          <w:rFonts w:cs="Times New Roman"/>
          <w:b/>
          <w:szCs w:val="24"/>
        </w:rPr>
      </w:pPr>
      <w:r>
        <w:rPr>
          <w:rFonts w:cs="Times New Roman"/>
          <w:b/>
          <w:szCs w:val="24"/>
        </w:rPr>
        <w:t xml:space="preserve">PENAL. PROCESSUAL PENAL. </w:t>
      </w:r>
      <w:r w:rsidRPr="0021702B">
        <w:rPr>
          <w:rFonts w:cs="Times New Roman"/>
          <w:b/>
          <w:szCs w:val="24"/>
        </w:rPr>
        <w:t>AGRAVO EM EXECUÇÃO PENAL.</w:t>
      </w:r>
      <w:r>
        <w:rPr>
          <w:rFonts w:cs="Times New Roman"/>
          <w:b/>
          <w:szCs w:val="24"/>
        </w:rPr>
        <w:t xml:space="preserve"> HOMOLOGAÇÃO DE FALTA GRAVE. </w:t>
      </w:r>
      <w:r>
        <w:rPr>
          <w:rFonts w:cs="Times New Roman"/>
          <w:b/>
          <w:szCs w:val="24"/>
        </w:rPr>
        <w:t xml:space="preserve">INABILITAÇÃO DO APARELHO DE MONITORAÇÃO. AUSÊNCIA DE CARGA. FISCALIZAÇÃO IMPEDIDA. ALEGAÇÃO DE INSERÇÃO EM SITUAÇÃO DE RUA DETERMINADA PELO USO CONTUMAZ DE ENTORPECENTES. </w:t>
      </w:r>
      <w:r w:rsidR="00AD4C6E">
        <w:rPr>
          <w:rFonts w:cs="Times New Roman"/>
          <w:b/>
          <w:szCs w:val="24"/>
        </w:rPr>
        <w:t xml:space="preserve">JUSTIFICATIVA INSUFICIENTE. REEDUCANDO QUE NÃO BUSCOU TRATAMENTO CLÍNICO DURANTE A FRUIÇÃO DE LIBERDADE MONITORADA. PENALIDADE DE </w:t>
      </w:r>
      <w:r>
        <w:rPr>
          <w:rFonts w:cs="Times New Roman"/>
          <w:b/>
          <w:szCs w:val="24"/>
        </w:rPr>
        <w:t>REGRESSÃO DE REGIME</w:t>
      </w:r>
      <w:r w:rsidR="00AD4C6E">
        <w:rPr>
          <w:rFonts w:cs="Times New Roman"/>
          <w:b/>
          <w:szCs w:val="24"/>
        </w:rPr>
        <w:t xml:space="preserve"> PRISIONAL</w:t>
      </w:r>
      <w:r>
        <w:rPr>
          <w:rFonts w:cs="Times New Roman"/>
          <w:b/>
          <w:szCs w:val="24"/>
        </w:rPr>
        <w:t xml:space="preserve">. PROPORCIONALIDADE. RECURSO CONHECIDO </w:t>
      </w:r>
      <w:r w:rsidRPr="009C3EF0">
        <w:rPr>
          <w:rFonts w:cs="Times New Roman"/>
          <w:b/>
          <w:szCs w:val="24"/>
        </w:rPr>
        <w:t>E DESPROVIDO.</w:t>
      </w:r>
    </w:p>
    <w:p w:rsidR="009C3EF0" w:rsidRDefault="009C3EF0" w:rsidP="009C3EF0">
      <w:pPr>
        <w:ind w:firstLine="0"/>
        <w:rPr>
          <w:rFonts w:cs="Times New Roman"/>
          <w:b/>
          <w:szCs w:val="24"/>
        </w:rPr>
      </w:pPr>
      <w:r w:rsidRPr="00292DC5">
        <w:rPr>
          <w:rFonts w:cs="Times New Roman"/>
          <w:b/>
          <w:szCs w:val="24"/>
        </w:rPr>
        <w:t xml:space="preserve">1. O apenado deve observar as condições </w:t>
      </w:r>
      <w:r>
        <w:rPr>
          <w:rFonts w:cs="Times New Roman"/>
          <w:b/>
          <w:szCs w:val="24"/>
        </w:rPr>
        <w:t>de manter o aparelho de monitoração eletrônica em funcionamento e permanecer no espaço autorizado, obrigações cuja violação constitui falta grave no curso da execução penal.</w:t>
      </w:r>
    </w:p>
    <w:p w:rsidR="0038193F" w:rsidRPr="009C3EF0" w:rsidRDefault="0038193F" w:rsidP="0038193F">
      <w:pPr>
        <w:ind w:firstLine="0"/>
        <w:rPr>
          <w:rFonts w:cs="Times New Roman"/>
          <w:b/>
          <w:szCs w:val="24"/>
        </w:rPr>
      </w:pPr>
      <w:r w:rsidRPr="009C3EF0">
        <w:rPr>
          <w:rFonts w:cs="Times New Roman"/>
          <w:b/>
          <w:szCs w:val="24"/>
        </w:rPr>
        <w:t xml:space="preserve">2. </w:t>
      </w:r>
      <w:r w:rsidRPr="009C3EF0">
        <w:rPr>
          <w:rFonts w:cs="Times New Roman"/>
          <w:b/>
          <w:szCs w:val="24"/>
        </w:rPr>
        <w:t>A</w:t>
      </w:r>
      <w:r w:rsidR="009C3EF0" w:rsidRPr="009C3EF0">
        <w:rPr>
          <w:rFonts w:cs="Times New Roman"/>
          <w:b/>
          <w:szCs w:val="24"/>
        </w:rPr>
        <w:t xml:space="preserve"> violação do perímetro de inclusão e a</w:t>
      </w:r>
      <w:r w:rsidRPr="009C3EF0">
        <w:rPr>
          <w:rFonts w:cs="Times New Roman"/>
          <w:b/>
          <w:szCs w:val="24"/>
        </w:rPr>
        <w:t xml:space="preserve"> inativação do aparelho de monitoração por ausência de carga constitu</w:t>
      </w:r>
      <w:r w:rsidR="009C3EF0" w:rsidRPr="009C3EF0">
        <w:rPr>
          <w:rFonts w:cs="Times New Roman"/>
          <w:b/>
          <w:szCs w:val="24"/>
        </w:rPr>
        <w:t xml:space="preserve">em </w:t>
      </w:r>
      <w:r w:rsidRPr="009C3EF0">
        <w:rPr>
          <w:rFonts w:cs="Times New Roman"/>
          <w:b/>
          <w:szCs w:val="24"/>
        </w:rPr>
        <w:t>falta grave e enseja</w:t>
      </w:r>
      <w:r w:rsidR="009C3EF0" w:rsidRPr="009C3EF0">
        <w:rPr>
          <w:rFonts w:cs="Times New Roman"/>
          <w:b/>
          <w:szCs w:val="24"/>
        </w:rPr>
        <w:t>m</w:t>
      </w:r>
      <w:r w:rsidRPr="009C3EF0">
        <w:rPr>
          <w:rFonts w:cs="Times New Roman"/>
          <w:b/>
          <w:szCs w:val="24"/>
        </w:rPr>
        <w:t xml:space="preserve">, </w:t>
      </w:r>
      <w:r w:rsidRPr="009C3EF0">
        <w:rPr>
          <w:rFonts w:cs="Times New Roman"/>
          <w:b/>
          <w:szCs w:val="24"/>
        </w:rPr>
        <w:t xml:space="preserve">nos termos do artigo 118, inciso I, da </w:t>
      </w:r>
      <w:proofErr w:type="spellStart"/>
      <w:r w:rsidRPr="009C3EF0">
        <w:rPr>
          <w:rFonts w:cs="Times New Roman"/>
          <w:b/>
          <w:szCs w:val="24"/>
        </w:rPr>
        <w:t>LEP</w:t>
      </w:r>
      <w:proofErr w:type="spellEnd"/>
      <w:r w:rsidRPr="009C3EF0">
        <w:rPr>
          <w:rFonts w:cs="Times New Roman"/>
          <w:b/>
          <w:szCs w:val="24"/>
        </w:rPr>
        <w:t>, a regressão do regime prisional.</w:t>
      </w:r>
    </w:p>
    <w:p w:rsidR="0038193F" w:rsidRPr="00473EBE" w:rsidRDefault="0038193F" w:rsidP="0038193F">
      <w:pPr>
        <w:ind w:firstLine="0"/>
        <w:rPr>
          <w:rFonts w:cs="Times New Roman"/>
          <w:b/>
          <w:szCs w:val="24"/>
        </w:rPr>
      </w:pPr>
      <w:r w:rsidRPr="009C3EF0">
        <w:rPr>
          <w:rFonts w:cs="Times New Roman"/>
          <w:b/>
          <w:szCs w:val="24"/>
        </w:rPr>
        <w:t>3. Recurso conhecido e não provido.</w:t>
      </w: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38193F" w:rsidRDefault="00AA28DF" w:rsidP="00AA28DF">
      <w:pPr>
        <w:pStyle w:val="PargrafodaLista"/>
        <w:ind w:left="0"/>
        <w:contextualSpacing w:val="0"/>
      </w:pPr>
      <w:r>
        <w:t xml:space="preserve">Cuida-se de </w:t>
      </w:r>
      <w:r w:rsidR="00063E16">
        <w:t>agravo em execução penal interposto por Adam Roger dos Santos Carvalho em face do Ministério Público do Estado do Paraná, tendo como objeto decisão proferida pelo juízo da Vara de Execução em Meio Fechado e Semiaberto de Maringá, que homologou falta grave consistente em violação de condição do regime semiaberto harmonizado e determinou a regressão do regime prisional (evento 266.1 –</w:t>
      </w:r>
      <w:r w:rsidR="0038193F">
        <w:t xml:space="preserve"> </w:t>
      </w:r>
      <w:proofErr w:type="spellStart"/>
      <w:r w:rsidR="0038193F">
        <w:t>SEEU</w:t>
      </w:r>
      <w:proofErr w:type="spellEnd"/>
      <w:r w:rsidR="0038193F">
        <w:t>).</w:t>
      </w:r>
    </w:p>
    <w:p w:rsidR="00063E16" w:rsidRDefault="00063E16" w:rsidP="00AA28DF">
      <w:pPr>
        <w:pStyle w:val="PargrafodaLista"/>
        <w:ind w:left="0"/>
        <w:contextualSpacing w:val="0"/>
      </w:pPr>
      <w:r>
        <w:t xml:space="preserve">Eis, em síntese, as razões de inconformismo: a) a regressão do regime impossibilita o exercício de trabalho lícito, relevante para o sustento próprio e da família do apenado; b) há predisposição para adesão a tratamento </w:t>
      </w:r>
      <w:r w:rsidR="0038193F">
        <w:t>voluntário da narcodependência, condição clínica que determinou o afastamento da residência familiar e a inserção em situação de rua, impossibilitando o cumprimento integral das condições impostas (</w:t>
      </w:r>
      <w:r>
        <w:t xml:space="preserve">evento 288.1 – </w:t>
      </w:r>
      <w:proofErr w:type="spellStart"/>
      <w:r>
        <w:t>SEEU</w:t>
      </w:r>
      <w:proofErr w:type="spellEnd"/>
      <w:r>
        <w:t>).</w:t>
      </w:r>
    </w:p>
    <w:p w:rsidR="00AA28DF" w:rsidRDefault="0038193F" w:rsidP="00AA28DF">
      <w:pPr>
        <w:pStyle w:val="PargrafodaLista"/>
        <w:ind w:left="0"/>
        <w:contextualSpacing w:val="0"/>
      </w:pPr>
      <w:r>
        <w:lastRenderedPageBreak/>
        <w:t xml:space="preserve">Nas contrarrazões, o Ministério Público sustentou que a justificativa apresentada, no sentido de que o desentendimento familiar e o uso de drogas conduziram à ausência de condições materiais para recarga do aparelho de monitoração são insuficientes para afastar a gravidade da conduta e a aplicação da penalidade de regressão do regime (evento 292.1 – </w:t>
      </w:r>
      <w:proofErr w:type="spellStart"/>
      <w:r>
        <w:t>SEEU</w:t>
      </w:r>
      <w:proofErr w:type="spellEnd"/>
      <w:r>
        <w:t>).</w:t>
      </w:r>
    </w:p>
    <w:p w:rsidR="0038193F" w:rsidRDefault="0038193F" w:rsidP="00AA28DF">
      <w:pPr>
        <w:pStyle w:val="PargrafodaLista"/>
        <w:ind w:left="0"/>
        <w:contextualSpacing w:val="0"/>
      </w:pPr>
      <w:r>
        <w:t>Opinou a Procuradoria-Geral de Justiça pelo conhecimento e desprovimento do recurso (evento 15.1).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38193F" w:rsidRPr="00AA28DF" w:rsidRDefault="0038193F" w:rsidP="0038193F">
      <w:pPr>
        <w:pStyle w:val="PargrafodaLista"/>
        <w:ind w:left="0"/>
        <w:contextualSpacing w:val="0"/>
        <w:rPr>
          <w:b/>
        </w:rPr>
      </w:pPr>
      <w:r w:rsidRPr="00AA28DF">
        <w:rPr>
          <w:b/>
        </w:rPr>
        <w:t>II – VOTO E SUA FUNDAMENTAÇÃO</w:t>
      </w:r>
    </w:p>
    <w:p w:rsidR="0038193F" w:rsidRDefault="0038193F" w:rsidP="0038193F">
      <w:pPr>
        <w:pStyle w:val="PargrafodaLista"/>
        <w:ind w:left="0"/>
        <w:contextualSpacing w:val="0"/>
      </w:pPr>
      <w:proofErr w:type="spellStart"/>
      <w:r>
        <w:t>II.I</w:t>
      </w:r>
      <w:proofErr w:type="spellEnd"/>
      <w:r>
        <w:t xml:space="preserve"> – DO JUÍZO DE ADMISSIBILIDADE</w:t>
      </w:r>
    </w:p>
    <w:p w:rsidR="0038193F" w:rsidRDefault="0038193F" w:rsidP="0038193F">
      <w:pPr>
        <w:pStyle w:val="PargrafodaLista"/>
        <w:ind w:left="0"/>
        <w:contextualSpacing w:val="0"/>
      </w:pPr>
      <w:r>
        <w:t>Satisfeitos os pressupostos de admissibilidade recursal, conhece-se do agravo interposto.</w:t>
      </w:r>
    </w:p>
    <w:p w:rsidR="0038193F" w:rsidRDefault="0038193F" w:rsidP="0038193F">
      <w:pPr>
        <w:pStyle w:val="PargrafodaLista"/>
        <w:ind w:left="0"/>
        <w:contextualSpacing w:val="0"/>
      </w:pPr>
    </w:p>
    <w:p w:rsidR="0038193F" w:rsidRDefault="0038193F" w:rsidP="0038193F">
      <w:pPr>
        <w:pStyle w:val="PargrafodaLista"/>
        <w:ind w:left="0"/>
        <w:contextualSpacing w:val="0"/>
      </w:pPr>
      <w:proofErr w:type="spellStart"/>
      <w:r>
        <w:t>II.II</w:t>
      </w:r>
      <w:proofErr w:type="spellEnd"/>
      <w:r>
        <w:t xml:space="preserve"> – DA HOMOLOGAÇÃO DA FALTA GRAVE</w:t>
      </w:r>
    </w:p>
    <w:p w:rsidR="00AD4C6E" w:rsidRDefault="0038193F" w:rsidP="0038193F">
      <w:pPr>
        <w:pStyle w:val="PargrafodaLista"/>
        <w:ind w:left="0"/>
        <w:contextualSpacing w:val="0"/>
      </w:pPr>
      <w:r>
        <w:t xml:space="preserve">Cinge-se o objeto recursal à pretensão de reexame de decisão que homologou falta grave </w:t>
      </w:r>
      <w:r w:rsidR="00AD4C6E">
        <w:t>de inabilitação de dispositivo de monitoração eletrônica e determinou, como consequência, a regressão do regime prisional semiaberto para o fechado</w:t>
      </w:r>
    </w:p>
    <w:p w:rsidR="00AD4C6E" w:rsidRDefault="0038193F" w:rsidP="0038193F">
      <w:pPr>
        <w:pStyle w:val="PargrafodaLista"/>
        <w:ind w:left="0"/>
        <w:contextualSpacing w:val="0"/>
      </w:pPr>
      <w:r>
        <w:t xml:space="preserve">Não há controvérsia sobre a </w:t>
      </w:r>
      <w:r w:rsidR="00AD4C6E">
        <w:t>prática de violação da</w:t>
      </w:r>
      <w:r w:rsidR="007E0475">
        <w:t xml:space="preserve">s obrigações de permanência em perímetro de inclusão </w:t>
      </w:r>
      <w:r w:rsidR="00AD4C6E">
        <w:t>e carregamento da bateria do dispositivo</w:t>
      </w:r>
      <w:r w:rsidR="007E0475">
        <w:t xml:space="preserve">. Além de 5 (cinco) evasões da área autorizada e duas 3 (duas) ocorrências de ausência de carga (evento </w:t>
      </w:r>
      <w:r w:rsidR="007E0475">
        <w:t xml:space="preserve">251.1 – </w:t>
      </w:r>
      <w:proofErr w:type="spellStart"/>
      <w:r w:rsidR="007E0475">
        <w:t>SEEU</w:t>
      </w:r>
      <w:proofErr w:type="spellEnd"/>
      <w:r w:rsidR="007E0475">
        <w:t xml:space="preserve">), quase um mês após a implementação do regime semiaberto harmonizado o apenado inativou o aparelho de monitoração, deixando de prover recarga de bateria, até o momento de sua prisão (eventos 231.1 – </w:t>
      </w:r>
      <w:proofErr w:type="spellStart"/>
      <w:r w:rsidR="007E0475">
        <w:t>SEEU</w:t>
      </w:r>
      <w:proofErr w:type="spellEnd"/>
      <w:r w:rsidR="007E0475">
        <w:t>).</w:t>
      </w:r>
    </w:p>
    <w:p w:rsidR="0038193F" w:rsidRDefault="0038193F" w:rsidP="0038193F">
      <w:pPr>
        <w:rPr>
          <w:rFonts w:cs="Times New Roman"/>
          <w:szCs w:val="24"/>
        </w:rPr>
      </w:pPr>
      <w:r>
        <w:rPr>
          <w:rFonts w:cs="Times New Roman"/>
          <w:szCs w:val="24"/>
        </w:rPr>
        <w:t xml:space="preserve">A Instrução Normativa Conjunta nº 44/2021 – </w:t>
      </w:r>
      <w:proofErr w:type="spellStart"/>
      <w:r>
        <w:rPr>
          <w:rFonts w:cs="Times New Roman"/>
          <w:szCs w:val="24"/>
        </w:rPr>
        <w:t>TJPR</w:t>
      </w:r>
      <w:proofErr w:type="spellEnd"/>
      <w:r>
        <w:rPr>
          <w:rFonts w:cs="Times New Roman"/>
          <w:szCs w:val="24"/>
        </w:rPr>
        <w:t>/</w:t>
      </w:r>
      <w:proofErr w:type="spellStart"/>
      <w:r>
        <w:rPr>
          <w:rFonts w:cs="Times New Roman"/>
          <w:szCs w:val="24"/>
        </w:rPr>
        <w:t>MPPR</w:t>
      </w:r>
      <w:proofErr w:type="spellEnd"/>
      <w:r>
        <w:rPr>
          <w:rFonts w:cs="Times New Roman"/>
          <w:szCs w:val="24"/>
        </w:rPr>
        <w:t>/</w:t>
      </w:r>
      <w:proofErr w:type="spellStart"/>
      <w:r>
        <w:rPr>
          <w:rFonts w:cs="Times New Roman"/>
          <w:szCs w:val="24"/>
        </w:rPr>
        <w:t>DPR</w:t>
      </w:r>
      <w:proofErr w:type="spellEnd"/>
      <w:r>
        <w:rPr>
          <w:rFonts w:cs="Times New Roman"/>
          <w:szCs w:val="24"/>
        </w:rPr>
        <w:t>-PR/</w:t>
      </w:r>
      <w:proofErr w:type="spellStart"/>
      <w:r>
        <w:rPr>
          <w:rFonts w:cs="Times New Roman"/>
          <w:szCs w:val="24"/>
        </w:rPr>
        <w:t>Sesp</w:t>
      </w:r>
      <w:proofErr w:type="spellEnd"/>
      <w:r>
        <w:rPr>
          <w:rFonts w:cs="Times New Roman"/>
          <w:szCs w:val="24"/>
        </w:rPr>
        <w:t>/</w:t>
      </w:r>
      <w:proofErr w:type="spellStart"/>
      <w:r>
        <w:rPr>
          <w:rFonts w:cs="Times New Roman"/>
          <w:szCs w:val="24"/>
        </w:rPr>
        <w:t>Depen</w:t>
      </w:r>
      <w:proofErr w:type="spellEnd"/>
      <w:r>
        <w:rPr>
          <w:rFonts w:cs="Times New Roman"/>
          <w:szCs w:val="24"/>
        </w:rPr>
        <w:t xml:space="preserve"> estabelece, em seu artigo 3º, que são deveres da pessoa monitorada, entre outros, </w:t>
      </w:r>
      <w:r>
        <w:rPr>
          <w:rFonts w:cs="Times New Roman"/>
          <w:szCs w:val="24"/>
        </w:rPr>
        <w:lastRenderedPageBreak/>
        <w:t>recarregar o equipamento diariamente e de informar, de imediato, qualquer evasão do perímetro estipulado, em virtude de doença ou situação imprevisível e inevitável.</w:t>
      </w:r>
    </w:p>
    <w:p w:rsidR="0038193F" w:rsidRDefault="0038193F" w:rsidP="0038193F">
      <w:pPr>
        <w:rPr>
          <w:rFonts w:cs="Times New Roman"/>
          <w:szCs w:val="24"/>
        </w:rPr>
      </w:pPr>
      <w:r>
        <w:rPr>
          <w:rFonts w:cs="Times New Roman"/>
          <w:szCs w:val="24"/>
        </w:rPr>
        <w:t>No mesmo sentido, a Lei de Execução Penal atribui ao condenado o dever de cumprir as ordens recebidas, tanto assim consideradas as condições impostas por ocasião da implantação da monitoração eletrônica, cuja violação constitui falta grave punível com regressão do regime prisional (</w:t>
      </w:r>
      <w:proofErr w:type="spellStart"/>
      <w:r>
        <w:rPr>
          <w:rFonts w:cs="Times New Roman"/>
          <w:szCs w:val="24"/>
        </w:rPr>
        <w:t>LEP</w:t>
      </w:r>
      <w:proofErr w:type="spellEnd"/>
      <w:r>
        <w:rPr>
          <w:rFonts w:cs="Times New Roman"/>
          <w:szCs w:val="24"/>
        </w:rPr>
        <w:t>, art. 39, V; art. 50, V; art. 146-C e art. 146-D)</w:t>
      </w:r>
    </w:p>
    <w:p w:rsidR="0038193F" w:rsidRDefault="0038193F" w:rsidP="0038193F">
      <w:pPr>
        <w:rPr>
          <w:rFonts w:cs="Times New Roman"/>
          <w:szCs w:val="24"/>
        </w:rPr>
      </w:pPr>
      <w:r>
        <w:rPr>
          <w:rFonts w:cs="Times New Roman"/>
          <w:szCs w:val="24"/>
        </w:rPr>
        <w:t>Segundo posicionamento do Superior Tribunal de Justiça e do Tribunal de Justiça do Paraná, a violação do perímetro de monitoração eletrônica constitui falta grave, cuja homologação acarreta regressão de regime prisional.</w:t>
      </w:r>
    </w:p>
    <w:p w:rsidR="0038193F" w:rsidRPr="00CC023E" w:rsidRDefault="0038193F" w:rsidP="0038193F">
      <w:pPr>
        <w:rPr>
          <w:rFonts w:cs="Times New Roman"/>
          <w:szCs w:val="24"/>
        </w:rPr>
      </w:pPr>
      <w:r>
        <w:rPr>
          <w:rFonts w:cs="Times New Roman"/>
          <w:szCs w:val="24"/>
        </w:rPr>
        <w:t>Nessa toada:</w:t>
      </w:r>
    </w:p>
    <w:p w:rsidR="0038193F" w:rsidRDefault="0038193F" w:rsidP="0038193F">
      <w:pPr>
        <w:spacing w:before="600" w:after="600"/>
        <w:ind w:left="2268" w:firstLine="0"/>
        <w:rPr>
          <w:rFonts w:cs="Times New Roman"/>
          <w:sz w:val="20"/>
          <w:szCs w:val="24"/>
        </w:rPr>
      </w:pPr>
      <w:r w:rsidRPr="00DC6DBA">
        <w:rPr>
          <w:rFonts w:cs="Times New Roman"/>
          <w:sz w:val="20"/>
          <w:szCs w:val="24"/>
        </w:rPr>
        <w:t xml:space="preserve">AGRAVO REGIMENTAL NO HABEAS CORPUS. EXECUÇÃO PENAL. MONITORAMENTO ELETRÔNICO. VIOLAÇÃO DA ZONA DE VIGILÂNCIA. FALTA GRAVE. AGRAVO REGIMENTAL DESPROVIDO. </w:t>
      </w:r>
      <w:r w:rsidRPr="000C3D20">
        <w:rPr>
          <w:rFonts w:cs="Times New Roman"/>
          <w:b/>
          <w:sz w:val="20"/>
          <w:szCs w:val="24"/>
        </w:rPr>
        <w:t xml:space="preserve">1. Na espécie, o Juízo da Execução Penal, em razão de o Apenado ter deixado de cumprir as orientações quanto ao uso do dispositivo de monitoramento eletrônico (violações ao perímetro datadas de 01/01/2020 a 02/01/2020), homologou a falta grave com fundamento no art. 118, inciso I, da </w:t>
      </w:r>
      <w:proofErr w:type="spellStart"/>
      <w:r w:rsidRPr="000C3D20">
        <w:rPr>
          <w:rFonts w:cs="Times New Roman"/>
          <w:b/>
          <w:sz w:val="20"/>
          <w:szCs w:val="24"/>
        </w:rPr>
        <w:t>LEP</w:t>
      </w:r>
      <w:proofErr w:type="spellEnd"/>
      <w:r w:rsidRPr="000C3D20">
        <w:rPr>
          <w:rFonts w:cs="Times New Roman"/>
          <w:b/>
          <w:sz w:val="20"/>
          <w:szCs w:val="24"/>
        </w:rPr>
        <w:t>, regrediu o regime imposto para o fechado e declarou a perda de 1/3 (um terço) dos dias remidos.</w:t>
      </w:r>
      <w:r w:rsidRPr="00DC6DBA">
        <w:rPr>
          <w:rFonts w:cs="Times New Roman"/>
          <w:sz w:val="20"/>
          <w:szCs w:val="24"/>
        </w:rPr>
        <w:t xml:space="preserve"> </w:t>
      </w:r>
      <w:r w:rsidRPr="000C3D20">
        <w:rPr>
          <w:rFonts w:cs="Times New Roman"/>
          <w:b/>
          <w:sz w:val="20"/>
          <w:szCs w:val="24"/>
        </w:rPr>
        <w:t>2. Os fundamentos consignados pelas instâncias ordinárias para caracterizar a conduta como falta grave não se mostram desarrazoados ou ilegais, uma vez que o Reeducando em monitoramento eletrônico deve observar as condições e limites estabelecidos para deslocamento.</w:t>
      </w:r>
      <w:r w:rsidRPr="00DC6DBA">
        <w:rPr>
          <w:rFonts w:cs="Times New Roman"/>
          <w:sz w:val="20"/>
          <w:szCs w:val="24"/>
        </w:rPr>
        <w:t xml:space="preserve"> Precedentes. 3. Agravo regimental desprovido. </w:t>
      </w:r>
      <w:r>
        <w:rPr>
          <w:rFonts w:cs="Times New Roman"/>
          <w:sz w:val="20"/>
          <w:szCs w:val="24"/>
        </w:rPr>
        <w:t xml:space="preserve">(STJ. Sexta Turma. Relatora: Ministra Laurita Vaz. </w:t>
      </w:r>
      <w:proofErr w:type="spellStart"/>
      <w:r w:rsidRPr="00DC6DBA">
        <w:rPr>
          <w:rFonts w:cs="Times New Roman"/>
          <w:sz w:val="20"/>
          <w:szCs w:val="24"/>
        </w:rPr>
        <w:t>AgRg</w:t>
      </w:r>
      <w:proofErr w:type="spellEnd"/>
      <w:r w:rsidRPr="00DC6DBA">
        <w:rPr>
          <w:rFonts w:cs="Times New Roman"/>
          <w:sz w:val="20"/>
          <w:szCs w:val="24"/>
        </w:rPr>
        <w:t xml:space="preserve"> no HC n. 698.075/CE</w:t>
      </w:r>
      <w:r>
        <w:rPr>
          <w:rFonts w:cs="Times New Roman"/>
          <w:sz w:val="20"/>
          <w:szCs w:val="24"/>
        </w:rPr>
        <w:t xml:space="preserve">. Data de julgamento: </w:t>
      </w:r>
      <w:r w:rsidRPr="00DC6DBA">
        <w:rPr>
          <w:rFonts w:cs="Times New Roman"/>
          <w:sz w:val="20"/>
          <w:szCs w:val="24"/>
        </w:rPr>
        <w:t>29/3/2022</w:t>
      </w:r>
      <w:r>
        <w:rPr>
          <w:rFonts w:cs="Times New Roman"/>
          <w:sz w:val="20"/>
          <w:szCs w:val="24"/>
        </w:rPr>
        <w:t xml:space="preserve">. Data de publicação: </w:t>
      </w:r>
      <w:r w:rsidRPr="00DC6DBA">
        <w:rPr>
          <w:rFonts w:cs="Times New Roman"/>
          <w:sz w:val="20"/>
          <w:szCs w:val="24"/>
        </w:rPr>
        <w:t>4/4/2022)</w:t>
      </w:r>
      <w:r>
        <w:rPr>
          <w:rFonts w:cs="Times New Roman"/>
          <w:sz w:val="20"/>
          <w:szCs w:val="24"/>
        </w:rPr>
        <w:t>.</w:t>
      </w:r>
    </w:p>
    <w:p w:rsidR="0038193F" w:rsidRPr="00DC6DBA" w:rsidRDefault="0038193F" w:rsidP="0038193F">
      <w:pPr>
        <w:spacing w:before="600" w:after="600"/>
        <w:ind w:left="2268" w:firstLine="0"/>
        <w:rPr>
          <w:rFonts w:cs="Times New Roman"/>
          <w:sz w:val="20"/>
          <w:szCs w:val="24"/>
        </w:rPr>
      </w:pPr>
      <w:r w:rsidRPr="00DC6DBA">
        <w:rPr>
          <w:rFonts w:cs="Times New Roman"/>
          <w:sz w:val="20"/>
          <w:szCs w:val="24"/>
        </w:rPr>
        <w:t xml:space="preserve">AGRAVO EM EXECUÇÃO PENAL. DECISÃO QUE DETERMINOU A REGRESSÃO DEFINITIVA DE REGIME. INSURGÊNCIA DO APENADO. PEDIDO DE ACOLHIMENTO DA JUSTIFICATIVA APRESENTADA. APENADO QUE, EM TESE, INFRINGIU A ÁREA DE INCLUSÃO EM RAZÃO DE TRABALHO. TESE NÃO ACOLHIDA. </w:t>
      </w:r>
      <w:r w:rsidRPr="000C3D20">
        <w:rPr>
          <w:rFonts w:cs="Times New Roman"/>
          <w:b/>
          <w:sz w:val="20"/>
          <w:szCs w:val="24"/>
        </w:rPr>
        <w:t>APENADO QUE TINHA CONHECIMENTO DAS CONDIÇÕES DO REGIME SEMIABERTO HARMONIZADO E NÃO PEDIU AUTORIZAÇÃO PRÉVIA AO MAGISTRADO</w:t>
      </w:r>
      <w:r w:rsidRPr="00DC6DBA">
        <w:rPr>
          <w:rFonts w:cs="Times New Roman"/>
          <w:sz w:val="20"/>
          <w:szCs w:val="24"/>
        </w:rPr>
        <w:t xml:space="preserve">. JUSTIFICATIVA, </w:t>
      </w:r>
      <w:r w:rsidRPr="00DC6DBA">
        <w:rPr>
          <w:rFonts w:cs="Times New Roman"/>
          <w:sz w:val="20"/>
          <w:szCs w:val="24"/>
        </w:rPr>
        <w:lastRenderedPageBreak/>
        <w:t xml:space="preserve">ADEMAIS, QUE </w:t>
      </w:r>
      <w:proofErr w:type="gramStart"/>
      <w:r w:rsidRPr="00DC6DBA">
        <w:rPr>
          <w:rFonts w:cs="Times New Roman"/>
          <w:sz w:val="20"/>
          <w:szCs w:val="24"/>
        </w:rPr>
        <w:t>CARECE</w:t>
      </w:r>
      <w:proofErr w:type="gramEnd"/>
      <w:r w:rsidRPr="00DC6DBA">
        <w:rPr>
          <w:rFonts w:cs="Times New Roman"/>
          <w:sz w:val="20"/>
          <w:szCs w:val="24"/>
        </w:rPr>
        <w:t xml:space="preserve"> DE VEROSSIMILHANÇA. VIOLAÇÕES QUE NÃO SE COMPATIBILIZAM COM O EXERCÍCIO DA FUNÇÃO LABORATIVA. VIOLAÇÃO DO PERÍMETRO DA ÁREA DE INCLUSÃO QUE CARACTERIZA FALTA GRAVE. PRECEDENTES. DECISÃO MANTIDA. RECURSO DESPROVIDO. (</w:t>
      </w:r>
      <w:proofErr w:type="spellStart"/>
      <w:r w:rsidRPr="00DC6DBA">
        <w:rPr>
          <w:rFonts w:cs="Times New Roman"/>
          <w:sz w:val="20"/>
          <w:szCs w:val="24"/>
        </w:rPr>
        <w:t>TJPR</w:t>
      </w:r>
      <w:proofErr w:type="spellEnd"/>
      <w:r>
        <w:rPr>
          <w:rFonts w:cs="Times New Roman"/>
          <w:sz w:val="20"/>
          <w:szCs w:val="24"/>
        </w:rPr>
        <w:t xml:space="preserve">. 3ª Câmara Criminal. Relator: Des. Mario Nini </w:t>
      </w:r>
      <w:proofErr w:type="spellStart"/>
      <w:r>
        <w:rPr>
          <w:rFonts w:cs="Times New Roman"/>
          <w:sz w:val="20"/>
          <w:szCs w:val="24"/>
        </w:rPr>
        <w:t>Azzolini</w:t>
      </w:r>
      <w:proofErr w:type="spellEnd"/>
      <w:r>
        <w:rPr>
          <w:rFonts w:cs="Times New Roman"/>
          <w:sz w:val="20"/>
          <w:szCs w:val="24"/>
        </w:rPr>
        <w:t>. Data de julgamento: 03/11/2022).</w:t>
      </w:r>
    </w:p>
    <w:p w:rsidR="009C3EF0" w:rsidRDefault="0038193F" w:rsidP="009C3EF0">
      <w:pPr>
        <w:rPr>
          <w:rFonts w:cs="Times New Roman"/>
          <w:szCs w:val="24"/>
        </w:rPr>
      </w:pPr>
      <w:r>
        <w:rPr>
          <w:rFonts w:cs="Times New Roman"/>
          <w:szCs w:val="24"/>
        </w:rPr>
        <w:t>No ponto</w:t>
      </w:r>
      <w:r w:rsidR="007E0475">
        <w:rPr>
          <w:rFonts w:cs="Times New Roman"/>
          <w:szCs w:val="24"/>
        </w:rPr>
        <w:t xml:space="preserve">, o elevado número de violações e a completa inativação do aparelho por ausência de carga na bateria, o que inviabilizou a fiscalização da restrição </w:t>
      </w:r>
      <w:r w:rsidR="009C3EF0">
        <w:rPr>
          <w:rFonts w:cs="Times New Roman"/>
          <w:szCs w:val="24"/>
        </w:rPr>
        <w:t>geográfica</w:t>
      </w:r>
      <w:r w:rsidR="007E0475">
        <w:rPr>
          <w:rFonts w:cs="Times New Roman"/>
          <w:szCs w:val="24"/>
        </w:rPr>
        <w:t xml:space="preserve">, demonstram </w:t>
      </w:r>
      <w:r>
        <w:rPr>
          <w:rFonts w:cs="Times New Roman"/>
          <w:szCs w:val="24"/>
        </w:rPr>
        <w:t xml:space="preserve">comportamento contrário ao senso de responsabilidade </w:t>
      </w:r>
      <w:r w:rsidR="009C3EF0">
        <w:rPr>
          <w:rFonts w:cs="Times New Roman"/>
          <w:szCs w:val="24"/>
        </w:rPr>
        <w:t>necessário para gozo do regime semiaberto harmonizado, em situação de liberdade monitorada.</w:t>
      </w:r>
    </w:p>
    <w:p w:rsidR="0038193F" w:rsidRDefault="0038193F" w:rsidP="0038193F">
      <w:pPr>
        <w:rPr>
          <w:rFonts w:cs="Times New Roman"/>
          <w:szCs w:val="24"/>
        </w:rPr>
      </w:pPr>
      <w:r>
        <w:rPr>
          <w:rFonts w:cs="Times New Roman"/>
          <w:szCs w:val="24"/>
        </w:rPr>
        <w:t>A esse respeito:</w:t>
      </w:r>
    </w:p>
    <w:p w:rsidR="0038193F" w:rsidRPr="009477E0" w:rsidRDefault="0038193F" w:rsidP="0038193F">
      <w:pPr>
        <w:spacing w:before="600" w:after="600"/>
        <w:ind w:left="2268" w:firstLine="0"/>
        <w:rPr>
          <w:rFonts w:cs="Times New Roman"/>
          <w:sz w:val="20"/>
          <w:szCs w:val="24"/>
        </w:rPr>
      </w:pPr>
      <w:r w:rsidRPr="00DE147D">
        <w:rPr>
          <w:rFonts w:cs="Times New Roman"/>
          <w:sz w:val="20"/>
          <w:szCs w:val="24"/>
        </w:rPr>
        <w:t>AGRAVO REGIMENTAL NO HABEAS CORPUS. FALTA GRAVE. MANTER EQUIPAMENTO DE MONITORAMENTO ELET</w:t>
      </w:r>
      <w:r>
        <w:rPr>
          <w:rFonts w:cs="Times New Roman"/>
          <w:sz w:val="20"/>
          <w:szCs w:val="24"/>
        </w:rPr>
        <w:t>R</w:t>
      </w:r>
      <w:r w:rsidRPr="00DE147D">
        <w:rPr>
          <w:rFonts w:cs="Times New Roman"/>
          <w:sz w:val="20"/>
          <w:szCs w:val="24"/>
        </w:rPr>
        <w:t xml:space="preserve">ÔNICO DESCARREGADO. CARACTERIZAÇÃO. ART. 50, VI, C/C ART. 39, V, DA </w:t>
      </w:r>
      <w:proofErr w:type="spellStart"/>
      <w:r w:rsidRPr="00DE147D">
        <w:rPr>
          <w:rFonts w:cs="Times New Roman"/>
          <w:sz w:val="20"/>
          <w:szCs w:val="24"/>
        </w:rPr>
        <w:t>LEP</w:t>
      </w:r>
      <w:proofErr w:type="spellEnd"/>
      <w:r w:rsidRPr="00DE147D">
        <w:rPr>
          <w:rFonts w:cs="Times New Roman"/>
          <w:sz w:val="20"/>
          <w:szCs w:val="24"/>
        </w:rPr>
        <w:t xml:space="preserve">. REGRESSÃO DE REGIME. LEGALIDADE. RECURSO NÃO PROVIDO. </w:t>
      </w:r>
      <w:r w:rsidRPr="009477E0">
        <w:rPr>
          <w:rFonts w:cs="Times New Roman"/>
          <w:b/>
          <w:sz w:val="20"/>
          <w:szCs w:val="24"/>
        </w:rPr>
        <w:t xml:space="preserve">1. </w:t>
      </w:r>
      <w:r w:rsidRPr="009477E0">
        <w:rPr>
          <w:rFonts w:cs="Times New Roman"/>
          <w:b/>
          <w:i/>
          <w:sz w:val="20"/>
          <w:szCs w:val="24"/>
        </w:rPr>
        <w:t xml:space="preserve">In </w:t>
      </w:r>
      <w:proofErr w:type="spellStart"/>
      <w:r w:rsidRPr="009477E0">
        <w:rPr>
          <w:rFonts w:cs="Times New Roman"/>
          <w:b/>
          <w:i/>
          <w:sz w:val="20"/>
          <w:szCs w:val="24"/>
        </w:rPr>
        <w:t>casu</w:t>
      </w:r>
      <w:proofErr w:type="spellEnd"/>
      <w:r w:rsidRPr="009477E0">
        <w:rPr>
          <w:rFonts w:cs="Times New Roman"/>
          <w:b/>
          <w:sz w:val="20"/>
          <w:szCs w:val="24"/>
        </w:rPr>
        <w:t xml:space="preserve">, ao deixar de carregar a bateria da tornozeleira eletrônica e circular pela cidade livremente, longe da esfera de vigilância das autoridades competentes, como consta dos autos, o paciente desobedeceu à ordem de manter o aparelho em funcionamento, incidindo na hipótese do art. 50, inciso VI, </w:t>
      </w:r>
      <w:proofErr w:type="spellStart"/>
      <w:r w:rsidRPr="009477E0">
        <w:rPr>
          <w:rFonts w:cs="Times New Roman"/>
          <w:b/>
          <w:sz w:val="20"/>
          <w:szCs w:val="24"/>
        </w:rPr>
        <w:t>c.c</w:t>
      </w:r>
      <w:proofErr w:type="spellEnd"/>
      <w:r w:rsidRPr="009477E0">
        <w:rPr>
          <w:rFonts w:cs="Times New Roman"/>
          <w:b/>
          <w:sz w:val="20"/>
          <w:szCs w:val="24"/>
        </w:rPr>
        <w:t xml:space="preserve">. o art. 39, inciso V, ambos da Lei de Execução Penal - </w:t>
      </w:r>
      <w:proofErr w:type="spellStart"/>
      <w:r w:rsidRPr="009477E0">
        <w:rPr>
          <w:rFonts w:cs="Times New Roman"/>
          <w:b/>
          <w:sz w:val="20"/>
          <w:szCs w:val="24"/>
        </w:rPr>
        <w:t>LEP</w:t>
      </w:r>
      <w:proofErr w:type="spellEnd"/>
      <w:r w:rsidRPr="009477E0">
        <w:rPr>
          <w:rFonts w:cs="Times New Roman"/>
          <w:b/>
          <w:sz w:val="20"/>
          <w:szCs w:val="24"/>
        </w:rPr>
        <w:t>.</w:t>
      </w:r>
      <w:r w:rsidRPr="00DE147D">
        <w:rPr>
          <w:rFonts w:cs="Times New Roman"/>
          <w:sz w:val="20"/>
          <w:szCs w:val="24"/>
        </w:rPr>
        <w:t xml:space="preserve"> 2. A prática de infração disciplinar de natureza grave ocasiona a regressão de regime prisional. Precedentes desta Corte. 3. Agravo regimental não provido. </w:t>
      </w:r>
      <w:r>
        <w:rPr>
          <w:rFonts w:cs="Times New Roman"/>
          <w:sz w:val="20"/>
          <w:szCs w:val="24"/>
        </w:rPr>
        <w:t xml:space="preserve">(STJ. Quinta Turma. Relator: Ministro Reynaldo Soares da Fonseca. </w:t>
      </w:r>
      <w:proofErr w:type="spellStart"/>
      <w:r w:rsidRPr="00DE147D">
        <w:rPr>
          <w:rFonts w:cs="Times New Roman"/>
          <w:sz w:val="20"/>
          <w:szCs w:val="24"/>
        </w:rPr>
        <w:t>AgRg</w:t>
      </w:r>
      <w:proofErr w:type="spellEnd"/>
      <w:r w:rsidRPr="00DE147D">
        <w:rPr>
          <w:rFonts w:cs="Times New Roman"/>
          <w:sz w:val="20"/>
          <w:szCs w:val="24"/>
        </w:rPr>
        <w:t xml:space="preserve"> no HC n. 595.942/SP</w:t>
      </w:r>
      <w:r>
        <w:rPr>
          <w:rFonts w:cs="Times New Roman"/>
          <w:sz w:val="20"/>
          <w:szCs w:val="24"/>
        </w:rPr>
        <w:t>. Data de julgamento: 9/2/2021. Data de publicação: 11/2/2021</w:t>
      </w:r>
      <w:r w:rsidRPr="00DE147D">
        <w:rPr>
          <w:rFonts w:cs="Times New Roman"/>
          <w:sz w:val="20"/>
          <w:szCs w:val="24"/>
        </w:rPr>
        <w:t>)</w:t>
      </w:r>
      <w:r>
        <w:rPr>
          <w:rFonts w:cs="Times New Roman"/>
          <w:sz w:val="20"/>
          <w:szCs w:val="24"/>
        </w:rPr>
        <w:t>.</w:t>
      </w:r>
    </w:p>
    <w:p w:rsidR="0038193F" w:rsidRDefault="0038193F" w:rsidP="0038193F">
      <w:pPr>
        <w:rPr>
          <w:rFonts w:cs="Times New Roman"/>
          <w:szCs w:val="24"/>
        </w:rPr>
      </w:pPr>
      <w:r>
        <w:rPr>
          <w:rFonts w:cs="Times New Roman"/>
          <w:szCs w:val="24"/>
        </w:rPr>
        <w:t>Nesse contexto, a regressão do regime, nos termos do artigo 188, inciso I, da Lei de Execução Penal, representa razoável e proporcional respos</w:t>
      </w:r>
      <w:r w:rsidR="009C3EF0">
        <w:rPr>
          <w:rFonts w:cs="Times New Roman"/>
          <w:szCs w:val="24"/>
        </w:rPr>
        <w:t>ta jurisdicional à pluralidade e gravidade das</w:t>
      </w:r>
      <w:r>
        <w:rPr>
          <w:rFonts w:cs="Times New Roman"/>
          <w:szCs w:val="24"/>
        </w:rPr>
        <w:t xml:space="preserve"> transgressões praticadas pelo reeducando.</w:t>
      </w:r>
    </w:p>
    <w:p w:rsidR="0038193F" w:rsidRDefault="0038193F" w:rsidP="0038193F">
      <w:pPr>
        <w:rPr>
          <w:rFonts w:cs="Times New Roman"/>
          <w:szCs w:val="24"/>
        </w:rPr>
      </w:pPr>
      <w:r>
        <w:rPr>
          <w:rFonts w:cs="Times New Roman"/>
          <w:szCs w:val="24"/>
        </w:rPr>
        <w:t xml:space="preserve">Ao arremate, quanto à sua condição clínica, o agravante não demonstrou, de maneira empiricamente verificável, impossibilidade de monitoração do quadro de saúde </w:t>
      </w:r>
      <w:r>
        <w:rPr>
          <w:rFonts w:cs="Times New Roman"/>
          <w:szCs w:val="24"/>
        </w:rPr>
        <w:lastRenderedPageBreak/>
        <w:t>ou manejo do tratamento no interi</w:t>
      </w:r>
      <w:r w:rsidR="009C3EF0">
        <w:rPr>
          <w:rFonts w:cs="Times New Roman"/>
          <w:szCs w:val="24"/>
        </w:rPr>
        <w:t>or do estabelecimento prisional, tampouco inciativa de buscar tratamento enquanto estava em situação de liberdade vigiada.</w:t>
      </w:r>
    </w:p>
    <w:p w:rsidR="0038193F" w:rsidRDefault="0038193F" w:rsidP="0038193F">
      <w:pPr>
        <w:rPr>
          <w:rFonts w:cs="Times New Roman"/>
          <w:szCs w:val="24"/>
        </w:rPr>
      </w:pPr>
      <w:r>
        <w:rPr>
          <w:rFonts w:cs="Times New Roman"/>
          <w:szCs w:val="24"/>
        </w:rPr>
        <w:t>Sobre tema:</w:t>
      </w:r>
    </w:p>
    <w:p w:rsidR="0038193F" w:rsidRPr="006234EF" w:rsidRDefault="0038193F" w:rsidP="0038193F">
      <w:pPr>
        <w:spacing w:before="600" w:after="600"/>
        <w:ind w:left="2268" w:firstLine="0"/>
        <w:rPr>
          <w:rFonts w:cs="Times New Roman"/>
          <w:sz w:val="20"/>
          <w:szCs w:val="24"/>
        </w:rPr>
      </w:pPr>
      <w:r w:rsidRPr="006234EF">
        <w:rPr>
          <w:rFonts w:cs="Times New Roman"/>
          <w:sz w:val="20"/>
          <w:szCs w:val="24"/>
        </w:rPr>
        <w:t>HABEAS CORPUS. IMPETRAÇÃO SUBSTITUTIVA DE RECURSO PRÓPRIO.</w:t>
      </w:r>
      <w:r>
        <w:rPr>
          <w:rFonts w:cs="Times New Roman"/>
          <w:sz w:val="20"/>
          <w:szCs w:val="24"/>
        </w:rPr>
        <w:t xml:space="preserve"> </w:t>
      </w:r>
      <w:r w:rsidRPr="006234EF">
        <w:rPr>
          <w:rFonts w:cs="Times New Roman"/>
          <w:sz w:val="20"/>
          <w:szCs w:val="24"/>
        </w:rPr>
        <w:t>IMPROPRIEDADE DA VIA ELEITA. REGIME INICIAL SEMIABERTO. EXPEDIÇÃO DE MANDADO DE PRISÃO. NECESSIDADE DE RECOLHIMENTO PRÉVIO DO PACIENTE À PRISÃO. DOENÇA GRAVE. PRISÃO DOMICILIAR. AUSÊNCIA DE VAGAS.</w:t>
      </w:r>
      <w:r>
        <w:rPr>
          <w:rFonts w:cs="Times New Roman"/>
          <w:sz w:val="20"/>
          <w:szCs w:val="24"/>
        </w:rPr>
        <w:t xml:space="preserve"> </w:t>
      </w:r>
      <w:r w:rsidRPr="006234EF">
        <w:rPr>
          <w:rFonts w:cs="Times New Roman"/>
          <w:sz w:val="20"/>
          <w:szCs w:val="24"/>
        </w:rPr>
        <w:t>ILEGALIDADE. INEXISTÊNCIA. WRIT NÃO CONHECIDO.</w:t>
      </w:r>
      <w:r>
        <w:rPr>
          <w:rFonts w:cs="Times New Roman"/>
          <w:sz w:val="20"/>
          <w:szCs w:val="24"/>
        </w:rPr>
        <w:t xml:space="preserve"> </w:t>
      </w:r>
      <w:r w:rsidRPr="006234EF">
        <w:rPr>
          <w:rFonts w:cs="Times New Roman"/>
          <w:sz w:val="20"/>
          <w:szCs w:val="24"/>
        </w:rPr>
        <w:t>1. Tratando-se de habeas corpus substitutivo do recurso próprio, inviável o seu conhecimento.</w:t>
      </w:r>
      <w:r>
        <w:rPr>
          <w:rFonts w:cs="Times New Roman"/>
          <w:sz w:val="20"/>
          <w:szCs w:val="24"/>
        </w:rPr>
        <w:t xml:space="preserve"> </w:t>
      </w:r>
      <w:r w:rsidRPr="006234EF">
        <w:rPr>
          <w:rFonts w:cs="Times New Roman"/>
          <w:sz w:val="20"/>
          <w:szCs w:val="24"/>
        </w:rPr>
        <w:t xml:space="preserve">2. Não há como se pleitear benefícios que podem ser obtidos durante o cumprimento da pena se essa sequer se iniciou. </w:t>
      </w:r>
      <w:r w:rsidRPr="00D20A27">
        <w:rPr>
          <w:rFonts w:cs="Times New Roman"/>
          <w:i/>
          <w:sz w:val="20"/>
          <w:szCs w:val="24"/>
        </w:rPr>
        <w:t xml:space="preserve">In </w:t>
      </w:r>
      <w:proofErr w:type="spellStart"/>
      <w:r w:rsidRPr="00D20A27">
        <w:rPr>
          <w:rFonts w:cs="Times New Roman"/>
          <w:i/>
          <w:sz w:val="20"/>
          <w:szCs w:val="24"/>
        </w:rPr>
        <w:t>casu</w:t>
      </w:r>
      <w:proofErr w:type="spellEnd"/>
      <w:r w:rsidRPr="006234EF">
        <w:rPr>
          <w:rFonts w:cs="Times New Roman"/>
          <w:sz w:val="20"/>
          <w:szCs w:val="24"/>
        </w:rPr>
        <w:t>, não há, nos autos, nenhum documento comprobatório de que o paciente foi ou será recolhido em regime mais gravoso por falta de vagas no regime estabelecido na condenação.</w:t>
      </w:r>
      <w:r>
        <w:rPr>
          <w:rFonts w:cs="Times New Roman"/>
          <w:sz w:val="20"/>
          <w:szCs w:val="24"/>
        </w:rPr>
        <w:t xml:space="preserve"> </w:t>
      </w:r>
      <w:r w:rsidRPr="00D20A27">
        <w:rPr>
          <w:rFonts w:cs="Times New Roman"/>
          <w:b/>
          <w:sz w:val="20"/>
          <w:szCs w:val="24"/>
        </w:rPr>
        <w:t>3. A jurisprudência tem admitido a concessão da prisão domiciliar aos condenados que se encontram em regime semiaberto e fechado, em situações excepcionalíssimas, como no caso de portadores de doença grave, desde que comprovada a impossibilidade da assistência médica no estabelecimento prisional em que cumprem sua pena.</w:t>
      </w:r>
      <w:r>
        <w:rPr>
          <w:rFonts w:cs="Times New Roman"/>
          <w:sz w:val="20"/>
          <w:szCs w:val="24"/>
        </w:rPr>
        <w:t xml:space="preserve"> </w:t>
      </w:r>
      <w:r w:rsidRPr="006234EF">
        <w:rPr>
          <w:rFonts w:cs="Times New Roman"/>
          <w:sz w:val="20"/>
          <w:szCs w:val="24"/>
        </w:rPr>
        <w:t>4. Ordem não conhecida.</w:t>
      </w:r>
      <w:r>
        <w:rPr>
          <w:rFonts w:cs="Times New Roman"/>
          <w:sz w:val="20"/>
          <w:szCs w:val="24"/>
        </w:rPr>
        <w:t xml:space="preserve"> (STJ. Sexta Turma. Relatora: Ministra Maria Thereza de Assis Moura. </w:t>
      </w:r>
      <w:r w:rsidRPr="006234EF">
        <w:rPr>
          <w:rFonts w:cs="Times New Roman"/>
          <w:sz w:val="20"/>
          <w:szCs w:val="24"/>
        </w:rPr>
        <w:t>HC 358.682/PR</w:t>
      </w:r>
      <w:r>
        <w:rPr>
          <w:rFonts w:cs="Times New Roman"/>
          <w:sz w:val="20"/>
          <w:szCs w:val="24"/>
        </w:rPr>
        <w:t>. Data de julgamento:</w:t>
      </w:r>
      <w:r w:rsidRPr="006234EF">
        <w:rPr>
          <w:rFonts w:cs="Times New Roman"/>
          <w:sz w:val="20"/>
          <w:szCs w:val="24"/>
        </w:rPr>
        <w:t xml:space="preserve"> 01/09/2016</w:t>
      </w:r>
      <w:r>
        <w:rPr>
          <w:rFonts w:cs="Times New Roman"/>
          <w:sz w:val="20"/>
          <w:szCs w:val="24"/>
        </w:rPr>
        <w:t xml:space="preserve">. Data de publicação: </w:t>
      </w:r>
      <w:r w:rsidRPr="006234EF">
        <w:rPr>
          <w:rFonts w:cs="Times New Roman"/>
          <w:sz w:val="20"/>
          <w:szCs w:val="24"/>
        </w:rPr>
        <w:t>12/09/2016).</w:t>
      </w:r>
    </w:p>
    <w:p w:rsidR="0038193F" w:rsidRDefault="0038193F" w:rsidP="0038193F">
      <w:pPr>
        <w:rPr>
          <w:rFonts w:cs="Times New Roman"/>
          <w:szCs w:val="24"/>
        </w:rPr>
      </w:pPr>
      <w:r>
        <w:rPr>
          <w:rFonts w:cs="Times New Roman"/>
          <w:szCs w:val="24"/>
        </w:rPr>
        <w:t>Impositiva, portanto, a manutenção da decisão homologatória da falta grave, bem como a penalidade de regressão de regime prisional.</w:t>
      </w:r>
    </w:p>
    <w:p w:rsidR="0038193F" w:rsidRDefault="0038193F" w:rsidP="0038193F">
      <w:pPr>
        <w:pStyle w:val="PargrafodaLista"/>
        <w:ind w:left="0"/>
        <w:contextualSpacing w:val="0"/>
      </w:pPr>
    </w:p>
    <w:p w:rsidR="0038193F" w:rsidRDefault="0038193F" w:rsidP="0038193F">
      <w:pPr>
        <w:pStyle w:val="PargrafodaLista"/>
        <w:ind w:left="0"/>
        <w:contextualSpacing w:val="0"/>
      </w:pPr>
      <w:proofErr w:type="spellStart"/>
      <w:r>
        <w:t>II.III</w:t>
      </w:r>
      <w:proofErr w:type="spellEnd"/>
      <w:r>
        <w:t xml:space="preserve"> – DA CONCLUSÃO</w:t>
      </w:r>
    </w:p>
    <w:p w:rsidR="0038193F" w:rsidRDefault="0038193F" w:rsidP="0038193F">
      <w:pPr>
        <w:pStyle w:val="PargrafodaLista"/>
        <w:ind w:left="0"/>
        <w:contextualSpacing w:val="0"/>
      </w:pPr>
      <w:r>
        <w:t>Pela conjugação das premissas deduzidas, a conclusão a ser adota consiste em conhecer e negar provimento ao recurso.</w:t>
      </w:r>
    </w:p>
    <w:p w:rsidR="0038193F" w:rsidRDefault="0038193F" w:rsidP="0038193F">
      <w:pPr>
        <w:pStyle w:val="PargrafodaLista"/>
        <w:ind w:left="0"/>
        <w:contextualSpacing w:val="0"/>
      </w:pPr>
      <w:r>
        <w:t>É como voto.</w:t>
      </w:r>
    </w:p>
    <w:p w:rsidR="0038193F" w:rsidRDefault="0038193F" w:rsidP="0038193F">
      <w:pPr>
        <w:pStyle w:val="PargrafodaLista"/>
        <w:ind w:left="0"/>
        <w:contextualSpacing w:val="0"/>
      </w:pPr>
    </w:p>
    <w:p w:rsidR="00AA28DF" w:rsidRPr="00AA28DF" w:rsidRDefault="0038193F" w:rsidP="0038193F">
      <w:pPr>
        <w:pStyle w:val="PargrafodaLista"/>
        <w:ind w:left="0"/>
        <w:contextualSpacing w:val="0"/>
        <w:rPr>
          <w:b/>
        </w:rPr>
      </w:pPr>
      <w:proofErr w:type="spellStart"/>
      <w:r>
        <w:rPr>
          <w:b/>
        </w:rPr>
        <w:lastRenderedPageBreak/>
        <w:t>III</w:t>
      </w:r>
      <w:proofErr w:type="spellEnd"/>
      <w:r>
        <w:rPr>
          <w:b/>
        </w:rPr>
        <w:t xml:space="preserve"> – DECISÃO</w:t>
      </w:r>
      <w:bookmarkStart w:id="0" w:name="_GoBack"/>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63E16"/>
    <w:rsid w:val="00165C47"/>
    <w:rsid w:val="0038193F"/>
    <w:rsid w:val="00672942"/>
    <w:rsid w:val="007E0475"/>
    <w:rsid w:val="00877419"/>
    <w:rsid w:val="009C3EF0"/>
    <w:rsid w:val="00AA28DF"/>
    <w:rsid w:val="00AD4C6E"/>
    <w:rsid w:val="00AE47D1"/>
    <w:rsid w:val="00DC37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56ED"/>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39D903-DB96-406E-9FCC-48E3FA43E101}"/>
</file>

<file path=customXml/itemProps2.xml><?xml version="1.0" encoding="utf-8"?>
<ds:datastoreItem xmlns:ds="http://schemas.openxmlformats.org/officeDocument/2006/customXml" ds:itemID="{4F74B6F7-C745-421E-9488-865A9B11BB71}"/>
</file>

<file path=customXml/itemProps3.xml><?xml version="1.0" encoding="utf-8"?>
<ds:datastoreItem xmlns:ds="http://schemas.openxmlformats.org/officeDocument/2006/customXml" ds:itemID="{E16C00BC-2D4D-438A-A9BF-B993107F3110}"/>
</file>

<file path=docProps/app.xml><?xml version="1.0" encoding="utf-8"?>
<Properties xmlns="http://schemas.openxmlformats.org/officeDocument/2006/extended-properties" xmlns:vt="http://schemas.openxmlformats.org/officeDocument/2006/docPropsVTypes">
  <Template>Normal</Template>
  <TotalTime>53</TotalTime>
  <Pages>6</Pages>
  <Words>1413</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2024-06-07T22:33:00Z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357600</vt:r8>
  </property>
</Properties>
</file>