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EF7A" w14:textId="0B7ADBD9" w:rsidR="00147AC6" w:rsidRDefault="00146748" w:rsidP="00146748">
      <w:pPr>
        <w:ind w:firstLine="0"/>
        <w:rPr>
          <w:b/>
        </w:rPr>
      </w:pPr>
      <w:r w:rsidRPr="00242D74">
        <w:rPr>
          <w:b/>
        </w:rPr>
        <w:t>DIREITO</w:t>
      </w:r>
      <w:r w:rsidR="001E7E06">
        <w:rPr>
          <w:b/>
        </w:rPr>
        <w:t xml:space="preserve"> PENAL E PROCESSUAL PENAL.</w:t>
      </w:r>
      <w:r w:rsidR="00E711B2">
        <w:rPr>
          <w:b/>
        </w:rPr>
        <w:t xml:space="preserve"> </w:t>
      </w:r>
      <w:r w:rsidR="001E7E06">
        <w:rPr>
          <w:b/>
        </w:rPr>
        <w:t>AGRAVO EM EXECUÇÃO PENAL.</w:t>
      </w:r>
      <w:r w:rsidR="00E711B2">
        <w:rPr>
          <w:b/>
        </w:rPr>
        <w:t xml:space="preserve"> </w:t>
      </w:r>
      <w:r w:rsidR="00147AC6">
        <w:rPr>
          <w:b/>
        </w:rPr>
        <w:t>COMUTAÇÃO.</w:t>
      </w:r>
      <w:r w:rsidR="00E711B2">
        <w:rPr>
          <w:b/>
        </w:rPr>
        <w:t xml:space="preserve"> </w:t>
      </w:r>
      <w:r w:rsidR="00147AC6">
        <w:rPr>
          <w:b/>
        </w:rPr>
        <w:t xml:space="preserve">CRIME IMPEDITIVO. TRÁFICO ILÍCITO DE ENTORPECENTES. </w:t>
      </w:r>
      <w:r w:rsidR="00FB789B">
        <w:rPr>
          <w:b/>
        </w:rPr>
        <w:t>PRECEDÊNCIA DA PENA MAIS GRAVE.</w:t>
      </w:r>
    </w:p>
    <w:p w14:paraId="153FB66C" w14:textId="77777777" w:rsidR="00146748" w:rsidRDefault="00146748" w:rsidP="00146748">
      <w:pPr>
        <w:ind w:firstLine="0"/>
        <w:rPr>
          <w:b/>
        </w:rPr>
      </w:pPr>
      <w:r w:rsidRPr="00242D74">
        <w:rPr>
          <w:b/>
        </w:rPr>
        <w:t>I. CASO EM EXAME</w:t>
      </w:r>
    </w:p>
    <w:p w14:paraId="3C1C3D26" w14:textId="79E45EC4" w:rsidR="00D07833" w:rsidRDefault="00D07833" w:rsidP="00146748">
      <w:pPr>
        <w:ind w:firstLine="0"/>
        <w:rPr>
          <w:b/>
        </w:rPr>
      </w:pPr>
      <w:r>
        <w:rPr>
          <w:b/>
        </w:rPr>
        <w:t>Agravo em execução penal interposto contra decisão que concedeu, parcialmente, pedido de comutação de pena, com base no Decreto Presidencial n</w:t>
      </w:r>
      <w:r w:rsidR="006804F5">
        <w:rPr>
          <w:b/>
        </w:rPr>
        <w:t>.</w:t>
      </w:r>
      <w:r w:rsidRPr="007D3825">
        <w:rPr>
          <w:b/>
        </w:rPr>
        <w:t xml:space="preserve"> 11.846 de 2023</w:t>
      </w:r>
      <w:r w:rsidR="006804F5">
        <w:rPr>
          <w:b/>
        </w:rPr>
        <w:t>.</w:t>
      </w:r>
    </w:p>
    <w:p w14:paraId="02435230" w14:textId="2D824473" w:rsidR="00146748" w:rsidRDefault="00146748" w:rsidP="00146748">
      <w:pPr>
        <w:ind w:firstLine="0"/>
        <w:rPr>
          <w:b/>
        </w:rPr>
      </w:pPr>
      <w:r w:rsidRPr="007C20AB">
        <w:rPr>
          <w:b/>
        </w:rPr>
        <w:t>II. QUESTÃO EM DISCUSSÃO</w:t>
      </w:r>
    </w:p>
    <w:p w14:paraId="5F749977" w14:textId="1D64BC47" w:rsidR="007C20AB" w:rsidRDefault="007C20AB" w:rsidP="00146748">
      <w:pPr>
        <w:ind w:firstLine="0"/>
        <w:rPr>
          <w:b/>
        </w:rPr>
      </w:pPr>
      <w:r>
        <w:rPr>
          <w:b/>
        </w:rPr>
        <w:t xml:space="preserve">Definição da base de cálculo da fração de pena a ser comutada, em razão do concurso </w:t>
      </w:r>
      <w:r w:rsidR="00384A88">
        <w:rPr>
          <w:b/>
        </w:rPr>
        <w:t>entre crimes impeditivos e comuns.</w:t>
      </w:r>
    </w:p>
    <w:p w14:paraId="7BD502AF" w14:textId="6679F18A" w:rsidR="00146748" w:rsidRPr="00384A88" w:rsidRDefault="00146748" w:rsidP="00146748">
      <w:pPr>
        <w:ind w:firstLine="0"/>
        <w:rPr>
          <w:b/>
        </w:rPr>
      </w:pPr>
      <w:r w:rsidRPr="00384A88">
        <w:rPr>
          <w:b/>
        </w:rPr>
        <w:t>III. RAZÕES DE DECIDIR</w:t>
      </w:r>
    </w:p>
    <w:p w14:paraId="544D520A" w14:textId="06C3BA31" w:rsidR="00384A88" w:rsidRDefault="00505AC6" w:rsidP="00146748">
      <w:pPr>
        <w:ind w:firstLine="0"/>
        <w:rPr>
          <w:b/>
        </w:rPr>
      </w:pPr>
      <w:r>
        <w:rPr>
          <w:b/>
        </w:rPr>
        <w:t xml:space="preserve">A aplicação da comutação, na hipótese de concurso de crimes hediondos ou equiparados e comuns, subordina-se ao disposto no artigo 76 do Código Penal, que </w:t>
      </w:r>
      <w:r w:rsidR="004D72BA">
        <w:rPr>
          <w:b/>
        </w:rPr>
        <w:t>estabelece a precedência da execução da pena pelo crime mais grave.</w:t>
      </w:r>
    </w:p>
    <w:p w14:paraId="6AF28E16" w14:textId="272868E8" w:rsidR="00146748" w:rsidRPr="00242D74" w:rsidRDefault="00146748" w:rsidP="00146748">
      <w:pPr>
        <w:ind w:firstLine="0"/>
        <w:rPr>
          <w:b/>
        </w:rPr>
      </w:pPr>
      <w:r w:rsidRPr="00242D74">
        <w:rPr>
          <w:b/>
        </w:rPr>
        <w:t>IV. SOLUÇÃO DO CASO</w:t>
      </w:r>
    </w:p>
    <w:p w14:paraId="7641D84D" w14:textId="00F0A492" w:rsidR="00146748" w:rsidRPr="00242D74" w:rsidRDefault="00146748" w:rsidP="00146748">
      <w:pPr>
        <w:ind w:firstLine="0"/>
        <w:rPr>
          <w:b/>
        </w:rPr>
      </w:pPr>
      <w:r w:rsidRPr="00242D74">
        <w:rPr>
          <w:b/>
        </w:rPr>
        <w:t>Recurso</w:t>
      </w:r>
      <w:r w:rsidR="00CD35CF">
        <w:rPr>
          <w:b/>
        </w:rPr>
        <w:t xml:space="preserve"> conhecido e desprovido</w:t>
      </w:r>
      <w:r w:rsidRPr="00242D74">
        <w:rPr>
          <w:b/>
        </w:rPr>
        <w:t>.</w:t>
      </w:r>
    </w:p>
    <w:p w14:paraId="34905683" w14:textId="6836AA77" w:rsidR="00146748" w:rsidRPr="00242D74" w:rsidRDefault="00146748" w:rsidP="00146748">
      <w:pPr>
        <w:ind w:firstLine="0"/>
        <w:rPr>
          <w:b/>
        </w:rPr>
      </w:pPr>
      <w:r w:rsidRPr="00242D74">
        <w:rPr>
          <w:b/>
        </w:rPr>
        <w:t xml:space="preserve">V. LEGISLAÇÃO </w:t>
      </w:r>
      <w:r w:rsidR="00CD35CF">
        <w:rPr>
          <w:b/>
        </w:rPr>
        <w:t xml:space="preserve">E JURISPRUDÊNCIA </w:t>
      </w:r>
      <w:r w:rsidRPr="00242D74">
        <w:rPr>
          <w:b/>
        </w:rPr>
        <w:t>UTILIZADAS</w:t>
      </w:r>
    </w:p>
    <w:p w14:paraId="206717D3" w14:textId="77777777" w:rsidR="001C2D4C" w:rsidRPr="007D3825" w:rsidRDefault="001C2D4C" w:rsidP="00146748">
      <w:pPr>
        <w:ind w:firstLine="0"/>
        <w:rPr>
          <w:b/>
        </w:rPr>
      </w:pPr>
      <w:r w:rsidRPr="007D3825">
        <w:rPr>
          <w:b/>
        </w:rPr>
        <w:t>V. I. Legislação</w:t>
      </w:r>
    </w:p>
    <w:p w14:paraId="3B2697AE" w14:textId="351920DA" w:rsidR="001E7E06" w:rsidRPr="007D3825" w:rsidRDefault="00F37FF5" w:rsidP="001E7E06">
      <w:pPr>
        <w:ind w:firstLine="0"/>
        <w:rPr>
          <w:b/>
        </w:rPr>
      </w:pPr>
      <w:r w:rsidRPr="007D3825">
        <w:rPr>
          <w:b/>
        </w:rPr>
        <w:t>CP: art. 76</w:t>
      </w:r>
      <w:r w:rsidR="00581654" w:rsidRPr="007D3825">
        <w:rPr>
          <w:b/>
        </w:rPr>
        <w:t>.</w:t>
      </w:r>
    </w:p>
    <w:p w14:paraId="587E7D01" w14:textId="55815F7C" w:rsidR="001E7E06" w:rsidRPr="007D3825" w:rsidRDefault="00581654" w:rsidP="001E7E06">
      <w:pPr>
        <w:ind w:firstLine="0"/>
        <w:rPr>
          <w:b/>
        </w:rPr>
      </w:pPr>
      <w:r w:rsidRPr="007D3825">
        <w:rPr>
          <w:b/>
        </w:rPr>
        <w:t>Decreto Presidencial n. 11.846 de 2023</w:t>
      </w:r>
      <w:r w:rsidR="009246DD" w:rsidRPr="007D3825">
        <w:rPr>
          <w:b/>
        </w:rPr>
        <w:t xml:space="preserve">: art. </w:t>
      </w:r>
      <w:r w:rsidR="009246DD" w:rsidRPr="007D3825">
        <w:rPr>
          <w:b/>
        </w:rPr>
        <w:t>1º, I e XVII</w:t>
      </w:r>
      <w:r w:rsidR="007D3825" w:rsidRPr="007D3825">
        <w:rPr>
          <w:b/>
        </w:rPr>
        <w:t>.</w:t>
      </w:r>
    </w:p>
    <w:p w14:paraId="5332AB4C" w14:textId="5295D0F7" w:rsidR="001E7E06" w:rsidRDefault="001C2D4C" w:rsidP="001E7E06">
      <w:pPr>
        <w:ind w:firstLine="0"/>
        <w:rPr>
          <w:b/>
        </w:rPr>
      </w:pPr>
      <w:r w:rsidRPr="00242D74">
        <w:rPr>
          <w:b/>
        </w:rPr>
        <w:t xml:space="preserve">V. II. </w:t>
      </w:r>
      <w:r w:rsidR="00146748" w:rsidRPr="00242D74">
        <w:rPr>
          <w:b/>
        </w:rPr>
        <w:t>Jurisprudência</w:t>
      </w:r>
    </w:p>
    <w:p w14:paraId="019BC04E" w14:textId="68CF851C" w:rsidR="00AA28DF" w:rsidRPr="001E7E06" w:rsidRDefault="007B3FCD" w:rsidP="001E7E06">
      <w:pPr>
        <w:ind w:firstLine="0"/>
        <w:rPr>
          <w:b/>
        </w:rPr>
      </w:pPr>
      <w:proofErr w:type="spellStart"/>
      <w:r w:rsidRPr="001E7E06">
        <w:rPr>
          <w:b/>
        </w:rPr>
        <w:t>TJPR</w:t>
      </w:r>
      <w:proofErr w:type="spellEnd"/>
      <w:r w:rsidRPr="001E7E06">
        <w:rPr>
          <w:b/>
        </w:rPr>
        <w:t xml:space="preserve">. 3ª Câmara Criminal. Relator: Desembargador </w:t>
      </w:r>
      <w:proofErr w:type="spellStart"/>
      <w:r w:rsidRPr="001E7E06">
        <w:rPr>
          <w:b/>
        </w:rPr>
        <w:t>Constantinov</w:t>
      </w:r>
      <w:proofErr w:type="spellEnd"/>
      <w:r w:rsidRPr="001E7E06">
        <w:rPr>
          <w:b/>
        </w:rPr>
        <w:t>. 4000112-69.2025.8.16.0173. Londrina. Data de julgamento: 14-7-2025</w:t>
      </w:r>
      <w:r w:rsidR="007E5451">
        <w:rPr>
          <w:b/>
        </w:rPr>
        <w:t>.</w:t>
      </w:r>
    </w:p>
    <w:p w14:paraId="4CAB88CF" w14:textId="77777777" w:rsidR="001E7E06" w:rsidRDefault="001E7E06" w:rsidP="00AA28DF">
      <w:pPr>
        <w:pStyle w:val="PargrafodaLista"/>
        <w:ind w:left="0"/>
        <w:contextualSpacing w:val="0"/>
        <w:rPr>
          <w:b/>
        </w:rPr>
      </w:pPr>
    </w:p>
    <w:p w14:paraId="4F2D2C21" w14:textId="76E51034"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14:paraId="094F266F" w14:textId="66129658" w:rsidR="00AB130C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014DAB">
        <w:t xml:space="preserve">agravo em execução penal interposto por Marcus Victor Costa Cordeiro </w:t>
      </w:r>
      <w:proofErr w:type="spellStart"/>
      <w:r w:rsidR="00014DAB">
        <w:t>Sver</w:t>
      </w:r>
      <w:r w:rsidR="00267111">
        <w:t>suti</w:t>
      </w:r>
      <w:proofErr w:type="spellEnd"/>
      <w:r w:rsidR="00267111">
        <w:t xml:space="preserve"> em face de Ministério Público do Estado do Paraná, tendo como objeto decisão proferida pelo juízo </w:t>
      </w:r>
      <w:r w:rsidR="00FC7262">
        <w:t>da Vara de Execuções Penais, Medidas Alternativas</w:t>
      </w:r>
      <w:r w:rsidR="00C814AE">
        <w:t xml:space="preserve"> e Corregedoria dos Presídios do Foro Regional de Londrina</w:t>
      </w:r>
      <w:r w:rsidR="00CE13B5">
        <w:t xml:space="preserve">, que deferiu parcialmente pedido de comutação de pena, com base do </w:t>
      </w:r>
      <w:bookmarkStart w:id="0" w:name="_Hlk204870819"/>
      <w:r w:rsidR="00CE13B5">
        <w:t xml:space="preserve">Decreto Presidencial n. </w:t>
      </w:r>
      <w:r w:rsidR="00CE13B5" w:rsidRPr="00997BC1">
        <w:t>11.846</w:t>
      </w:r>
      <w:r w:rsidR="00CE13B5">
        <w:t xml:space="preserve"> de 2</w:t>
      </w:r>
      <w:r w:rsidR="00CE13B5" w:rsidRPr="00997BC1">
        <w:t>023</w:t>
      </w:r>
      <w:r w:rsidR="00CE13B5">
        <w:t xml:space="preserve"> </w:t>
      </w:r>
      <w:bookmarkEnd w:id="0"/>
      <w:r w:rsidR="00CE13B5">
        <w:t xml:space="preserve">(evento </w:t>
      </w:r>
      <w:r w:rsidR="00B1356A">
        <w:t xml:space="preserve">265.1 – </w:t>
      </w:r>
      <w:proofErr w:type="spellStart"/>
      <w:r w:rsidR="00B1356A">
        <w:t>SEEU</w:t>
      </w:r>
      <w:proofErr w:type="spellEnd"/>
      <w:r w:rsidR="00B1356A">
        <w:t>).</w:t>
      </w:r>
    </w:p>
    <w:p w14:paraId="34B09C90" w14:textId="143AAF06" w:rsidR="00014756" w:rsidRDefault="001E5452" w:rsidP="00AA28DF">
      <w:pPr>
        <w:pStyle w:val="PargrafodaLista"/>
        <w:ind w:left="0"/>
        <w:contextualSpacing w:val="0"/>
      </w:pPr>
      <w:r w:rsidRPr="00997BC1">
        <w:t>O agravante sustenta, em síntese, que o cálculo da comutação foi realizado de forma equivocada, pois teria sido utilizado o tempo de pena cumprida até 25</w:t>
      </w:r>
      <w:r>
        <w:t>-</w:t>
      </w:r>
      <w:r w:rsidRPr="00997BC1">
        <w:t>12</w:t>
      </w:r>
      <w:r w:rsidR="00D20120">
        <w:t>-</w:t>
      </w:r>
      <w:r w:rsidRPr="00997BC1">
        <w:t>2023 para abater integralmente a pena do crime impeditivo (tráfico de drogas), o que teria prejudicado a fração aplicável aos crimes comuns.</w:t>
      </w:r>
      <w:r w:rsidR="00D20120">
        <w:t xml:space="preserve"> Advoga</w:t>
      </w:r>
      <w:r w:rsidRPr="00997BC1">
        <w:t xml:space="preserve"> que, tendo cumprido mais do que os 2/3</w:t>
      </w:r>
      <w:r w:rsidR="00D20120">
        <w:t xml:space="preserve"> (dois terços)</w:t>
      </w:r>
      <w:r w:rsidRPr="00997BC1">
        <w:t xml:space="preserve"> exigidos para o crime impeditivo, o excedente deveria ser considerado para ampliar a comutação da pena dos crimes não impeditivos</w:t>
      </w:r>
      <w:r w:rsidR="00D20120">
        <w:t xml:space="preserve"> </w:t>
      </w:r>
      <w:r w:rsidR="00CE13B5">
        <w:t xml:space="preserve">(evento </w:t>
      </w:r>
      <w:r w:rsidR="00014756">
        <w:t xml:space="preserve">281.1 – </w:t>
      </w:r>
      <w:proofErr w:type="spellStart"/>
      <w:r w:rsidR="00014756">
        <w:t>SEEU</w:t>
      </w:r>
      <w:proofErr w:type="spellEnd"/>
      <w:r w:rsidR="00014756">
        <w:t>)</w:t>
      </w:r>
      <w:r w:rsidR="00B1356A">
        <w:t>.</w:t>
      </w:r>
    </w:p>
    <w:p w14:paraId="22BEFD55" w14:textId="0E1F5999" w:rsidR="00CE13B5" w:rsidRDefault="00CE13B5" w:rsidP="00AA28DF">
      <w:pPr>
        <w:pStyle w:val="PargrafodaLista"/>
        <w:ind w:left="0"/>
        <w:contextualSpacing w:val="0"/>
      </w:pPr>
      <w:r>
        <w:t xml:space="preserve">Nas contrarrazões, o Ministério Público se manifestou pelo </w:t>
      </w:r>
      <w:r w:rsidR="00222B04">
        <w:t xml:space="preserve">desprovimento do recurso (evento </w:t>
      </w:r>
      <w:r w:rsidR="00497493">
        <w:t xml:space="preserve">286.1 – </w:t>
      </w:r>
      <w:proofErr w:type="spellStart"/>
      <w:r w:rsidR="00497493">
        <w:t>SEEU</w:t>
      </w:r>
      <w:proofErr w:type="spellEnd"/>
      <w:r w:rsidR="00497493">
        <w:t>).</w:t>
      </w:r>
    </w:p>
    <w:p w14:paraId="663DAC55" w14:textId="61D58B68" w:rsidR="00497493" w:rsidRDefault="00497493" w:rsidP="00AA28DF">
      <w:pPr>
        <w:pStyle w:val="PargrafodaLista"/>
        <w:ind w:left="0"/>
        <w:contextualSpacing w:val="0"/>
      </w:pPr>
      <w:r>
        <w:t xml:space="preserve">No mesmo sentido, a Procuradoria-Geral de Justiça opinou pelo conhecimento e desprovimento do agravo (evento </w:t>
      </w:r>
      <w:r w:rsidR="007C6BFE">
        <w:t>13.1).</w:t>
      </w:r>
    </w:p>
    <w:p w14:paraId="5A480162" w14:textId="77777777"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14:paraId="1769E6BE" w14:textId="77777777" w:rsidR="00AA28DF" w:rsidRDefault="00AA28DF" w:rsidP="00877419">
      <w:pPr>
        <w:pStyle w:val="PargrafodaLista"/>
        <w:ind w:left="0"/>
        <w:contextualSpacing w:val="0"/>
      </w:pPr>
    </w:p>
    <w:p w14:paraId="54C5CE34" w14:textId="77777777"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14:paraId="43849029" w14:textId="77777777" w:rsidR="00AA28DF" w:rsidRDefault="00AA28DF" w:rsidP="00877419">
      <w:pPr>
        <w:pStyle w:val="PargrafodaLista"/>
        <w:ind w:left="0"/>
        <w:contextualSpacing w:val="0"/>
      </w:pPr>
      <w:r>
        <w:t>II.I – DO JUÍZO DE ADMISSIBILIDADE</w:t>
      </w:r>
    </w:p>
    <w:p w14:paraId="4DB2389B" w14:textId="69CF9E67" w:rsidR="00997BC1" w:rsidRDefault="00997BC1" w:rsidP="00877419">
      <w:pPr>
        <w:pStyle w:val="PargrafodaLista"/>
        <w:ind w:left="0"/>
        <w:contextualSpacing w:val="0"/>
      </w:pPr>
      <w:r>
        <w:t>Satisfeitos os pressupostos de admissibilidade, conhece-se do recurso interposto.</w:t>
      </w:r>
    </w:p>
    <w:p w14:paraId="67156F0A" w14:textId="77777777" w:rsidR="00997BC1" w:rsidRDefault="00997BC1" w:rsidP="00877419">
      <w:pPr>
        <w:pStyle w:val="PargrafodaLista"/>
        <w:ind w:left="0"/>
        <w:contextualSpacing w:val="0"/>
      </w:pPr>
    </w:p>
    <w:p w14:paraId="57A125BF" w14:textId="77777777" w:rsidR="00B65B75" w:rsidRDefault="00997BC1" w:rsidP="00B65B75">
      <w:pPr>
        <w:pStyle w:val="PargrafodaLista"/>
        <w:ind w:left="0"/>
        <w:contextualSpacing w:val="0"/>
      </w:pPr>
      <w:r>
        <w:t>II.II – DA COMUTAÇÃO</w:t>
      </w:r>
    </w:p>
    <w:p w14:paraId="61B54DAF" w14:textId="6BE50446" w:rsidR="00997BC1" w:rsidRDefault="00483E4D" w:rsidP="00B65B75">
      <w:pPr>
        <w:pStyle w:val="PargrafodaLista"/>
        <w:ind w:left="0"/>
        <w:contextualSpacing w:val="0"/>
      </w:pPr>
      <w:r>
        <w:t xml:space="preserve">Cinge-se a controvérsia </w:t>
      </w:r>
      <w:r w:rsidR="00027896">
        <w:t>à pretensão de reexame de decisão que concedeu em parte pedido de comutação de pena, excluindo da base de cálculo a totalidade do benefício a totalidade da pena cumprida pelo crime impeditivo.</w:t>
      </w:r>
    </w:p>
    <w:p w14:paraId="03720FB7" w14:textId="1CB7A6FD" w:rsidR="00997BC1" w:rsidRDefault="00483E4D" w:rsidP="00483E4D">
      <w:pPr>
        <w:pStyle w:val="PargrafodaLista"/>
        <w:ind w:left="0"/>
        <w:contextualSpacing w:val="0"/>
      </w:pPr>
      <w:r>
        <w:t xml:space="preserve">A despeito da invectiva recursal, a decisão agravada </w:t>
      </w:r>
      <w:r w:rsidR="00997BC1" w:rsidRPr="00997BC1">
        <w:t xml:space="preserve">observou corretamente os critérios estabelecidos no Decreto </w:t>
      </w:r>
      <w:r>
        <w:t xml:space="preserve">Presidencial </w:t>
      </w:r>
      <w:r w:rsidR="00997BC1" w:rsidRPr="00997BC1">
        <w:t>n. 11.846</w:t>
      </w:r>
      <w:r>
        <w:t xml:space="preserve"> de </w:t>
      </w:r>
      <w:r w:rsidR="00997BC1" w:rsidRPr="00997BC1">
        <w:t>2023</w:t>
      </w:r>
      <w:r w:rsidR="00395DBF">
        <w:t xml:space="preserve"> e no artigo 76 do Código Penal.</w:t>
      </w:r>
    </w:p>
    <w:p w14:paraId="1114A067" w14:textId="1A3E8BC8" w:rsidR="00ED1FD7" w:rsidRDefault="00ED1FD7" w:rsidP="00B515DF">
      <w:pPr>
        <w:pStyle w:val="PargrafodaLista"/>
        <w:ind w:left="0"/>
        <w:contextualSpacing w:val="0"/>
      </w:pPr>
      <w:r>
        <w:t>Segundo expressa previsão normativa</w:t>
      </w:r>
      <w:r w:rsidR="009C0BF0">
        <w:t>,</w:t>
      </w:r>
      <w:r w:rsidR="00403199">
        <w:t xml:space="preserve"> </w:t>
      </w:r>
      <w:r w:rsidR="00B515DF">
        <w:t xml:space="preserve">a comutação </w:t>
      </w:r>
      <w:r w:rsidR="00997BC1" w:rsidRPr="00997BC1">
        <w:t>não se aplica a crimes hediondos ou equiparados (</w:t>
      </w:r>
      <w:r w:rsidR="00B515DF">
        <w:t>Dec. n. 11.846</w:t>
      </w:r>
      <w:r w:rsidR="00F0426A">
        <w:t xml:space="preserve">/2023, </w:t>
      </w:r>
      <w:r w:rsidR="00997BC1" w:rsidRPr="00997BC1">
        <w:t>art. 1º, I e XVII</w:t>
      </w:r>
      <w:r w:rsidR="00403199">
        <w:t>)</w:t>
      </w:r>
      <w:r w:rsidR="008A2880">
        <w:t xml:space="preserve"> e, ademais, </w:t>
      </w:r>
      <w:r w:rsidR="009C0BF0">
        <w:t>no concurso de infrações, executa-se primeiramente a mais gravosa.</w:t>
      </w:r>
    </w:p>
    <w:p w14:paraId="5052554B" w14:textId="4644BE30" w:rsidR="009C0BF0" w:rsidRDefault="002C6AC2" w:rsidP="00B515DF">
      <w:pPr>
        <w:pStyle w:val="PargrafodaLista"/>
        <w:ind w:left="0"/>
        <w:contextualSpacing w:val="0"/>
      </w:pPr>
      <w:r>
        <w:t>Logo,</w:t>
      </w:r>
      <w:r w:rsidR="00C538D2">
        <w:t xml:space="preserve"> a vedação à comutação do crime impeditivo não alcança somente os 2/3 (dois terços) relativos ao requisito objetivo, mas a totalidade da pena, </w:t>
      </w:r>
      <w:r w:rsidR="000E4EA3">
        <w:t>a ser executada antes da reprimenda do crime comum.</w:t>
      </w:r>
    </w:p>
    <w:p w14:paraId="64874604" w14:textId="67F196A3" w:rsidR="00DC5E28" w:rsidRDefault="00DC5E28" w:rsidP="00B515DF">
      <w:pPr>
        <w:pStyle w:val="PargrafodaLista"/>
        <w:ind w:left="0"/>
        <w:contextualSpacing w:val="0"/>
      </w:pPr>
      <w:r>
        <w:t>Sobre o tema:</w:t>
      </w:r>
    </w:p>
    <w:p w14:paraId="7EC59FE2" w14:textId="77777777" w:rsidR="00DC5E28" w:rsidRDefault="00DC5E28" w:rsidP="00B515DF">
      <w:pPr>
        <w:pStyle w:val="PargrafodaLista"/>
        <w:ind w:left="0"/>
        <w:contextualSpacing w:val="0"/>
      </w:pPr>
    </w:p>
    <w:p w14:paraId="5B32A521" w14:textId="6B0ED2ED" w:rsidR="0062467D" w:rsidRDefault="00DC5E28" w:rsidP="00DC5E28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3E56AA">
        <w:rPr>
          <w:sz w:val="20"/>
          <w:szCs w:val="18"/>
        </w:rPr>
        <w:t>DIREITO PENAL. AGRAVO EM EXECUÇÃO PENAL. COMUTAÇÃO DE PENA COM BASE NO DECRETO N° 11.846/2023. PLEITO CONCESSÓRIO. REQUISITO OBJETIVO NÃO PREENCHIDO. FRAÇÃO DE RESGATE DE PENA EM CRIME IMPEDITIVO NÃO ALCANÇADA. OPERAÇÃO QUE DEVE INCIDIR SOBRE O CRIME IMPEDITIVO E NÃO IMPEDITIVO ISOLADAMENTE. AGRAVO EM EXECUÇÃO PENAL NÃO PROVIDO. I. Caso em exame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1. Agravo em Execução Penal interposto em face de decisão da Vara de Execuções Penais e Corregedoria dos Presídios da Comarca de Umuarama, que indeferiu o pedido de comutação de pena, sob a alegação de que o agravante não havia cumprido 2/3 da pena correspondente ao crime impeditivo, conforme exigido pelo Decreto n° 11.846/2023, sob a alegação de que houve o preenchimento dos requisitos para a concessão do benefício, uma vez que o agravante não possui faltas graves e já realizou o resgate de 2/3 da pena, considerando o somatório total das penas.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II. Questão em discussão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2. A questão em discussão consiste em saber se o agravante preenche os requisitos para a comutação de pena com base no Decreto Presidencial nº 11.846/2023, analisando, para tanto, se para a concessão do benefício, deve ser considerada a soma das penas de crimes comuns e de crime impeditivo ou se é necessário o cumprimento individual de dois terços da pena do crime impeditivo.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III. Razões de decidir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3. Para a concessão de comutação de pena com base no Decreto Presidencial nº 11.846/2023, na hipótese de existir concurso de crime impeditivo, é necessário que o apenado cumpra individualmente dois terços da pena correspondente ao crime impeditivo, individualmente, não sendo permitida a soma das penas de crimes diversos para fins de cálculo.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4. No presente caso, o agravante não cumpriu 2/3 da pena correspondente ao crime impeditivo, conforme exigido pelo Decreto n° 11.846/2023, de modo que não preenche o requisito objetivo para a concessão do benefício.</w:t>
      </w:r>
      <w:r>
        <w:rPr>
          <w:sz w:val="20"/>
          <w:szCs w:val="18"/>
        </w:rPr>
        <w:t xml:space="preserve"> </w:t>
      </w:r>
      <w:r w:rsidRPr="00DC5E28">
        <w:rPr>
          <w:b/>
          <w:bCs/>
          <w:sz w:val="20"/>
          <w:szCs w:val="18"/>
        </w:rPr>
        <w:t>5. A interpretação do art. 9°, parágrafo único, do Decreto n° 11.846/2023 exige o cumprimento individual da pena do crime impeditivo, não sendo possível a soma das penas para fins de comutação.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IV. Dispositivo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6. Agravo em Execução Penal conhecido e desprovido.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Dispositivos relevantes citados: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 xml:space="preserve">CR/1988, art. 84, XII; Decreto nº 11.846/2023, </w:t>
      </w:r>
      <w:proofErr w:type="spellStart"/>
      <w:r w:rsidRPr="003E56AA">
        <w:rPr>
          <w:sz w:val="20"/>
          <w:szCs w:val="18"/>
        </w:rPr>
        <w:t>arts</w:t>
      </w:r>
      <w:proofErr w:type="spellEnd"/>
      <w:r w:rsidRPr="003E56AA">
        <w:rPr>
          <w:sz w:val="20"/>
          <w:szCs w:val="18"/>
        </w:rPr>
        <w:t xml:space="preserve">. 1º e 9º, </w:t>
      </w:r>
      <w:proofErr w:type="spellStart"/>
      <w:r w:rsidRPr="003E56AA">
        <w:rPr>
          <w:sz w:val="20"/>
          <w:szCs w:val="18"/>
        </w:rPr>
        <w:t>p.u</w:t>
      </w:r>
      <w:proofErr w:type="spellEnd"/>
      <w:r w:rsidRPr="003E56AA">
        <w:rPr>
          <w:sz w:val="20"/>
          <w:szCs w:val="18"/>
        </w:rPr>
        <w:t>.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Jurisprudência relevante citada: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 xml:space="preserve">STJ, AgRg no HC 956.953/SC, Rel. Min. </w:t>
      </w:r>
      <w:proofErr w:type="spellStart"/>
      <w:r w:rsidRPr="003E56AA">
        <w:rPr>
          <w:sz w:val="20"/>
          <w:szCs w:val="18"/>
        </w:rPr>
        <w:t>Antonio</w:t>
      </w:r>
      <w:proofErr w:type="spellEnd"/>
      <w:r w:rsidRPr="003E56AA">
        <w:rPr>
          <w:sz w:val="20"/>
          <w:szCs w:val="18"/>
        </w:rPr>
        <w:t xml:space="preserve"> Saldanha Palheiro, Sexta Turma, j. 12.03.2025; STJ, AgRg no HC 983.034/SC, Rel. Min. Reynaldo Soares da Fonseca, Quinta Turma, j. 09.04.2025; STJ, AgRg no HC 940.307/SC, Rel. Min. Ribeiro Dantas, Quinta Turma, j. 19.02.2025; </w:t>
      </w:r>
      <w:proofErr w:type="spellStart"/>
      <w:r w:rsidRPr="003E56AA">
        <w:rPr>
          <w:sz w:val="20"/>
          <w:szCs w:val="18"/>
        </w:rPr>
        <w:t>TJPR</w:t>
      </w:r>
      <w:proofErr w:type="spellEnd"/>
      <w:r w:rsidRPr="003E56AA">
        <w:rPr>
          <w:sz w:val="20"/>
          <w:szCs w:val="18"/>
        </w:rPr>
        <w:t>, 4ª Câmara Criminal, 4000279-54.2023.8.16.0077, Rel. Desembargador Celso Jair Mainardi, j. 14.08.2023.</w:t>
      </w:r>
      <w:r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(</w:t>
      </w:r>
      <w:proofErr w:type="spellStart"/>
      <w:r w:rsidRPr="003E56AA">
        <w:rPr>
          <w:sz w:val="20"/>
          <w:szCs w:val="18"/>
        </w:rPr>
        <w:t>TJPR</w:t>
      </w:r>
      <w:proofErr w:type="spellEnd"/>
      <w:r>
        <w:rPr>
          <w:sz w:val="20"/>
          <w:szCs w:val="18"/>
        </w:rPr>
        <w:t xml:space="preserve">. 3ª Câmara Criminal. Relator: Desembargador </w:t>
      </w:r>
      <w:proofErr w:type="spellStart"/>
      <w:r>
        <w:rPr>
          <w:sz w:val="20"/>
          <w:szCs w:val="18"/>
        </w:rPr>
        <w:t>Constantinov</w:t>
      </w:r>
      <w:proofErr w:type="spellEnd"/>
      <w:r>
        <w:rPr>
          <w:sz w:val="20"/>
          <w:szCs w:val="18"/>
        </w:rPr>
        <w:t>.</w:t>
      </w:r>
      <w:r w:rsidR="0062467D">
        <w:rPr>
          <w:sz w:val="20"/>
          <w:szCs w:val="18"/>
        </w:rPr>
        <w:t xml:space="preserve"> </w:t>
      </w:r>
      <w:r w:rsidRPr="003E56AA">
        <w:rPr>
          <w:sz w:val="20"/>
          <w:szCs w:val="18"/>
        </w:rPr>
        <w:t>4000112-69.2025.8.16.0173</w:t>
      </w:r>
      <w:r w:rsidR="0062467D">
        <w:rPr>
          <w:sz w:val="20"/>
          <w:szCs w:val="18"/>
        </w:rPr>
        <w:t xml:space="preserve">. Londrina. </w:t>
      </w:r>
      <w:r w:rsidR="00394EF5">
        <w:rPr>
          <w:sz w:val="20"/>
          <w:szCs w:val="18"/>
        </w:rPr>
        <w:t>Data de julgamento: 14-7-2025).</w:t>
      </w:r>
    </w:p>
    <w:p w14:paraId="65BB1749" w14:textId="77777777" w:rsidR="00DC5E28" w:rsidRDefault="00DC5E28" w:rsidP="00B515DF">
      <w:pPr>
        <w:pStyle w:val="PargrafodaLista"/>
        <w:ind w:left="0"/>
        <w:contextualSpacing w:val="0"/>
      </w:pPr>
    </w:p>
    <w:p w14:paraId="1A2977FE" w14:textId="0ACC9522" w:rsidR="000E4EA3" w:rsidRDefault="000E4EA3" w:rsidP="00B515DF">
      <w:pPr>
        <w:pStyle w:val="PargrafodaLista"/>
        <w:ind w:left="0"/>
        <w:contextualSpacing w:val="0"/>
      </w:pPr>
      <w:r>
        <w:t>Com efeito, a interpretação lógico-gramatical dos dispositivos em questão afasta, de maneira peremptória, a plausibilidade jurídica do repto recursal.</w:t>
      </w:r>
    </w:p>
    <w:p w14:paraId="449DF03B" w14:textId="67516F9C" w:rsidR="000E4EA3" w:rsidRDefault="000E4EA3" w:rsidP="00B515DF">
      <w:pPr>
        <w:pStyle w:val="PargrafodaLista"/>
        <w:ind w:left="0"/>
        <w:contextualSpacing w:val="0"/>
      </w:pPr>
      <w:r>
        <w:t>Impõe-se, nessas condições, a manutenção da decisão objurgada.</w:t>
      </w:r>
    </w:p>
    <w:p w14:paraId="373D0408" w14:textId="77777777" w:rsidR="00137A03" w:rsidRDefault="00137A03" w:rsidP="0019203F">
      <w:pPr>
        <w:pStyle w:val="PargrafodaLista"/>
        <w:ind w:left="0"/>
        <w:contextualSpacing w:val="0"/>
      </w:pPr>
    </w:p>
    <w:p w14:paraId="4F9B449E" w14:textId="564E2F54" w:rsidR="00AA28DF" w:rsidRDefault="00997BC1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</w:t>
      </w:r>
      <w:r w:rsidR="00AA28DF">
        <w:t>DA CONCLUSÃO</w:t>
      </w:r>
    </w:p>
    <w:p w14:paraId="12A4456E" w14:textId="3BE1A319" w:rsidR="00AA28DF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997BC1">
        <w:t>em conhecer e negar provimento ao recurso.</w:t>
      </w:r>
    </w:p>
    <w:p w14:paraId="4308533E" w14:textId="77777777"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14:paraId="316E59E6" w14:textId="77777777" w:rsidR="00AA28DF" w:rsidRDefault="00AA28DF" w:rsidP="00877419">
      <w:pPr>
        <w:pStyle w:val="PargrafodaLista"/>
        <w:ind w:left="0"/>
        <w:contextualSpacing w:val="0"/>
      </w:pPr>
    </w:p>
    <w:p w14:paraId="717BA75D" w14:textId="381A8D44"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997BC1">
        <w:rPr>
          <w:b/>
        </w:rPr>
        <w:t xml:space="preserve">– </w:t>
      </w:r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A52BC0"/>
    <w:multiLevelType w:val="multilevel"/>
    <w:tmpl w:val="24A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6955022">
    <w:abstractNumId w:val="0"/>
  </w:num>
  <w:num w:numId="2" w16cid:durableId="59834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14756"/>
    <w:rsid w:val="00014DAB"/>
    <w:rsid w:val="00027896"/>
    <w:rsid w:val="000D2894"/>
    <w:rsid w:val="000E4EA3"/>
    <w:rsid w:val="000F1973"/>
    <w:rsid w:val="00137A03"/>
    <w:rsid w:val="00146748"/>
    <w:rsid w:val="00147AC6"/>
    <w:rsid w:val="00165C47"/>
    <w:rsid w:val="00182CCC"/>
    <w:rsid w:val="0019203F"/>
    <w:rsid w:val="001C2D4C"/>
    <w:rsid w:val="001E5452"/>
    <w:rsid w:val="001E7E06"/>
    <w:rsid w:val="00222B04"/>
    <w:rsid w:val="00226583"/>
    <w:rsid w:val="00242D74"/>
    <w:rsid w:val="00267111"/>
    <w:rsid w:val="002C6AC2"/>
    <w:rsid w:val="003003BF"/>
    <w:rsid w:val="00384A88"/>
    <w:rsid w:val="00394EF5"/>
    <w:rsid w:val="00395DBF"/>
    <w:rsid w:val="003E56AA"/>
    <w:rsid w:val="00403199"/>
    <w:rsid w:val="00416750"/>
    <w:rsid w:val="00483E4D"/>
    <w:rsid w:val="00497493"/>
    <w:rsid w:val="004D72BA"/>
    <w:rsid w:val="00505AC6"/>
    <w:rsid w:val="00581654"/>
    <w:rsid w:val="005B4039"/>
    <w:rsid w:val="0062467D"/>
    <w:rsid w:val="00672942"/>
    <w:rsid w:val="006804F5"/>
    <w:rsid w:val="0068443B"/>
    <w:rsid w:val="00753930"/>
    <w:rsid w:val="00794062"/>
    <w:rsid w:val="007B3FCD"/>
    <w:rsid w:val="007C20AB"/>
    <w:rsid w:val="007C6BFE"/>
    <w:rsid w:val="007D3825"/>
    <w:rsid w:val="007E5451"/>
    <w:rsid w:val="00877419"/>
    <w:rsid w:val="00886725"/>
    <w:rsid w:val="008A2880"/>
    <w:rsid w:val="009246DD"/>
    <w:rsid w:val="00964A01"/>
    <w:rsid w:val="00973737"/>
    <w:rsid w:val="00997BC1"/>
    <w:rsid w:val="009C0BF0"/>
    <w:rsid w:val="009D0D3E"/>
    <w:rsid w:val="00A54B4F"/>
    <w:rsid w:val="00A96E7C"/>
    <w:rsid w:val="00AA28DF"/>
    <w:rsid w:val="00AB130C"/>
    <w:rsid w:val="00AE47D1"/>
    <w:rsid w:val="00B1356A"/>
    <w:rsid w:val="00B515DF"/>
    <w:rsid w:val="00B65B75"/>
    <w:rsid w:val="00BC64BE"/>
    <w:rsid w:val="00C538D2"/>
    <w:rsid w:val="00C814AE"/>
    <w:rsid w:val="00C95EB7"/>
    <w:rsid w:val="00CD35CF"/>
    <w:rsid w:val="00CE13B5"/>
    <w:rsid w:val="00D07833"/>
    <w:rsid w:val="00D20120"/>
    <w:rsid w:val="00D37894"/>
    <w:rsid w:val="00DC37B4"/>
    <w:rsid w:val="00DC5E28"/>
    <w:rsid w:val="00E059D9"/>
    <w:rsid w:val="00E711B2"/>
    <w:rsid w:val="00EB1E62"/>
    <w:rsid w:val="00ED1FD7"/>
    <w:rsid w:val="00F0426A"/>
    <w:rsid w:val="00F37FF5"/>
    <w:rsid w:val="00F64560"/>
    <w:rsid w:val="00FB789B"/>
    <w:rsid w:val="00FC7262"/>
    <w:rsid w:val="00FE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71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15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58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65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0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  <w:divsChild>
            <w:div w:id="160958298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17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  <w:divsChild>
            <w:div w:id="102224433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278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49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50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4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75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141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77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80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88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06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27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99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99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85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9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76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64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9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90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86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1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9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54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52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2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  <w:divsChild>
            <w:div w:id="15912805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32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  <w:divsChild>
            <w:div w:id="76107033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453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11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77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139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E112A-CF62-4725-B13C-AF58ACD94986}"/>
</file>

<file path=customXml/itemProps2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1004</Words>
  <Characters>5424</Characters>
  <Application>Microsoft Office Word</Application>
  <DocSecurity>0</DocSecurity>
  <Lines>45</Lines>
  <Paragraphs>12</Paragraphs>
  <ScaleCrop>false</ScaleCrop>
  <Company>Tribunal de Justiça do Estado do Paraná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75</cp:revision>
  <cp:lastPrinted>2025-07-11T18:35:00Z</cp:lastPrinted>
  <dcterms:created xsi:type="dcterms:W3CDTF">2024-02-08T17:42:00Z</dcterms:created>
  <dcterms:modified xsi:type="dcterms:W3CDTF">2025-07-31T19:26:00Z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