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C8B" w:rsidRDefault="00E03C8B" w:rsidP="00E03C8B">
      <w:pPr>
        <w:ind w:firstLine="0"/>
        <w:rPr>
          <w:b/>
        </w:rPr>
      </w:pPr>
      <w:r>
        <w:rPr>
          <w:b/>
        </w:rPr>
        <w:t>PENAL.</w:t>
      </w:r>
      <w:r w:rsidR="00F65289">
        <w:rPr>
          <w:b/>
        </w:rPr>
        <w:t xml:space="preserve"> </w:t>
      </w:r>
      <w:r>
        <w:rPr>
          <w:b/>
        </w:rPr>
        <w:t>PROCESSUAL PENAL.</w:t>
      </w:r>
      <w:r w:rsidR="00F65289">
        <w:rPr>
          <w:b/>
        </w:rPr>
        <w:t xml:space="preserve"> </w:t>
      </w:r>
      <w:r>
        <w:rPr>
          <w:b/>
        </w:rPr>
        <w:t>AGRAVO EM EXECUÇÃO.</w:t>
      </w:r>
      <w:r w:rsidR="00F65289">
        <w:rPr>
          <w:b/>
        </w:rPr>
        <w:t xml:space="preserve"> UNIFICAÇÃO DAS PENAS. PRETENSÃO DE APLICAÇÃO DA CONTINUIDADE DELITIVA. IMPOSSIBILIDADE. FURTO SIMPLES E FURTO QUALIFICADO POR CONCURSO DE PESSOAS. MODO DE EXECUÇÃO DIVERSO. HABITUALIDADE DELITIVA. INTERPRETAÇÃO TELEOLÓGICA. ITEM 59 DA EXPOSIÇÃO DE MOTIVOS DO CÓDIGO DE PENAL. PROPÓSITO POLÍTICO-CRIMINAL DE EVITAR BENEFÍCIO INDEVIDO AO CRIMINOSO HABITUAL. CONCURSO MATERIAL MANTIDO. RECURSO CONHECIDO E DESPROVIDO.</w:t>
      </w:r>
    </w:p>
    <w:p w:rsidR="0056686A" w:rsidRDefault="00F65289" w:rsidP="00E03C8B">
      <w:pPr>
        <w:ind w:firstLine="0"/>
        <w:rPr>
          <w:b/>
        </w:rPr>
      </w:pPr>
      <w:r>
        <w:rPr>
          <w:b/>
        </w:rPr>
        <w:t>1.</w:t>
      </w:r>
      <w:r w:rsidR="0056686A">
        <w:rPr>
          <w:b/>
        </w:rPr>
        <w:t xml:space="preserve"> A prática de crimes de mesma espécie, mas sob modo de execução diverso, impossibilita a aplicação da continuidade delitiva (CP, art. 71).</w:t>
      </w:r>
    </w:p>
    <w:p w:rsidR="00F65289" w:rsidRDefault="0056686A" w:rsidP="00E03C8B">
      <w:pPr>
        <w:ind w:firstLine="0"/>
        <w:rPr>
          <w:b/>
        </w:rPr>
      </w:pPr>
      <w:r>
        <w:rPr>
          <w:b/>
        </w:rPr>
        <w:t xml:space="preserve">2. Conforme a Exposição de Motivos do Código Penal, a continuidade delitiva não se presta a beneficiar a criminalidade profissional, organizada e violenta, sendo </w:t>
      </w:r>
      <w:proofErr w:type="spellStart"/>
      <w:r>
        <w:rPr>
          <w:b/>
        </w:rPr>
        <w:t>teleologicamente</w:t>
      </w:r>
      <w:proofErr w:type="spellEnd"/>
      <w:r>
        <w:rPr>
          <w:b/>
        </w:rPr>
        <w:t xml:space="preserve"> indevida a aplicação do instituto ao criminoso habitual.</w:t>
      </w:r>
    </w:p>
    <w:p w:rsidR="0056686A" w:rsidRDefault="0056686A" w:rsidP="00E03C8B">
      <w:pPr>
        <w:ind w:firstLine="0"/>
        <w:rPr>
          <w:b/>
        </w:rPr>
      </w:pPr>
      <w:r>
        <w:rPr>
          <w:b/>
        </w:rPr>
        <w:t>3. Recurso conhecido e desprovido.</w:t>
      </w:r>
    </w:p>
    <w:p w:rsidR="00E03C8B" w:rsidRPr="00E03C8B" w:rsidRDefault="00E03C8B" w:rsidP="00E03C8B">
      <w:pPr>
        <w:ind w:firstLine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E15501" w:rsidRDefault="00AA28DF" w:rsidP="00AA28DF">
      <w:pPr>
        <w:pStyle w:val="PargrafodaLista"/>
        <w:ind w:left="0"/>
        <w:contextualSpacing w:val="0"/>
      </w:pPr>
      <w:r>
        <w:t>Cuida-se de</w:t>
      </w:r>
      <w:r w:rsidR="00E15501">
        <w:t xml:space="preserve"> agravo em execução penal interposto por Gabriel </w:t>
      </w:r>
      <w:proofErr w:type="spellStart"/>
      <w:r w:rsidR="00E15501">
        <w:t>Dionata</w:t>
      </w:r>
      <w:proofErr w:type="spellEnd"/>
      <w:r w:rsidR="00E15501">
        <w:t xml:space="preserve"> </w:t>
      </w:r>
      <w:proofErr w:type="spellStart"/>
      <w:r w:rsidR="00E15501">
        <w:t>Szyminovicz</w:t>
      </w:r>
      <w:proofErr w:type="spellEnd"/>
      <w:r w:rsidR="00E15501">
        <w:t xml:space="preserve"> em face do Ministério Público do Estado do Paraná, tendo como objeto decisão proferida pelo juízo da Vara de Execuções Penais, Medidas Alternativas e Corregedoria dos Presídios do Foro Central de Curitiba, que indeferiu requerimento de unificação de penas de condenações autônomas sob a regra da continuidade delitiva (evento 336.1 – autos de origem).</w:t>
      </w:r>
    </w:p>
    <w:p w:rsidR="00627CA8" w:rsidRDefault="00E15501" w:rsidP="00AA28DF">
      <w:pPr>
        <w:pStyle w:val="PargrafodaLista"/>
        <w:ind w:left="0"/>
        <w:contextualSpacing w:val="0"/>
      </w:pPr>
      <w:r>
        <w:t>Eis, em síntese, as razões de inconformismo:</w:t>
      </w:r>
      <w:r w:rsidR="00A417D0">
        <w:t xml:space="preserve"> a) o vínculo subjetivo entre os crimes não constitui requisito legal para o reconhecimento da continuidade delitiva; b) o critério teórico utilizado foi repudiado na expos</w:t>
      </w:r>
      <w:r w:rsidR="00627CA8">
        <w:t>ição de motivos do Código Penal; c) a aplicação da continuidade delitiva não constitui um benefício, mas garantia legal; d) satisfeitos os requisitos objetivos, o institui tem aplicação compulsória, não submetida a filtros subjetivos do julgador (evento 349.1 – autos de origem).</w:t>
      </w:r>
    </w:p>
    <w:p w:rsidR="00E03C8B" w:rsidRDefault="00627CA8" w:rsidP="00AA28DF">
      <w:pPr>
        <w:pStyle w:val="PargrafodaLista"/>
        <w:ind w:left="0"/>
        <w:contextualSpacing w:val="0"/>
      </w:pPr>
      <w:r>
        <w:t xml:space="preserve">Nas contrarrazões, o Ministério Público sustentou que: </w:t>
      </w:r>
      <w:r w:rsidR="00E87947">
        <w:t>a) o Superior Tribunal de Justiça adota a teoria mista, objetiva-subjetiva, para interpretação da continuidade delitiva; b) a unidade de desígnios entre as condutas é essencial para reconhecimento da continuidade; c) os crimes, cuja unidade advoga a defesa, foram praticados sob</w:t>
      </w:r>
      <w:r w:rsidR="00E03C8B">
        <w:t xml:space="preserve"> modo de execução diverso (evento 360.1 – autos de origem).</w:t>
      </w:r>
    </w:p>
    <w:p w:rsidR="00627CA8" w:rsidRDefault="00E03C8B" w:rsidP="00877419">
      <w:pPr>
        <w:pStyle w:val="PargrafodaLista"/>
        <w:ind w:left="0"/>
        <w:contextualSpacing w:val="0"/>
      </w:pPr>
      <w:r>
        <w:t>Opinou a Procuradoria-Geral de Justiça pelo conhecimento e desprovimento do recurso (evento 13.1).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E03C8B" w:rsidRDefault="00E03C8B" w:rsidP="00877419">
      <w:pPr>
        <w:pStyle w:val="PargrafodaLista"/>
        <w:ind w:left="0"/>
        <w:contextualSpacing w:val="0"/>
      </w:pPr>
      <w:r>
        <w:t>Satisfeitos os pressupostos de admissibilidade recursal, conhece-se do agravo interposto.</w:t>
      </w:r>
    </w:p>
    <w:p w:rsidR="00E03C8B" w:rsidRDefault="00E03C8B" w:rsidP="00877419">
      <w:pPr>
        <w:pStyle w:val="PargrafodaLista"/>
        <w:ind w:left="0"/>
        <w:contextualSpacing w:val="0"/>
      </w:pPr>
    </w:p>
    <w:p w:rsidR="00E03C8B" w:rsidRDefault="00E03C8B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CONTINUIDADE DELITIVA</w:t>
      </w:r>
    </w:p>
    <w:p w:rsidR="008F6CC4" w:rsidRDefault="00E03C8B" w:rsidP="008F6CC4">
      <w:pPr>
        <w:pStyle w:val="PargrafodaLista"/>
        <w:ind w:left="0"/>
        <w:contextualSpacing w:val="0"/>
      </w:pPr>
      <w:r>
        <w:t xml:space="preserve">O agravante Gabriel </w:t>
      </w:r>
      <w:proofErr w:type="spellStart"/>
      <w:r>
        <w:t>Dionata</w:t>
      </w:r>
      <w:proofErr w:type="spellEnd"/>
      <w:r>
        <w:t xml:space="preserve"> </w:t>
      </w:r>
      <w:proofErr w:type="spellStart"/>
      <w:r>
        <w:t>Szyminovicz</w:t>
      </w:r>
      <w:proofErr w:type="spellEnd"/>
      <w:r>
        <w:t xml:space="preserve"> foi condenado, em relações processuais distintas, pelas práticas dos crimes de furto</w:t>
      </w:r>
      <w:r w:rsidR="008F6CC4">
        <w:t xml:space="preserve"> majorado pela circunstância do repouso noturno, aos 27-04-2017, e qualificado pelo concurso de pessoas, no dia 28-04-2017 (autos nº 0000522-30.2017.8.16.0157 e 0000395-92.2017.8.16.0157).</w:t>
      </w:r>
    </w:p>
    <w:p w:rsidR="008F6CC4" w:rsidRDefault="008F6CC4" w:rsidP="008F6CC4">
      <w:pPr>
        <w:pStyle w:val="PargrafodaLista"/>
        <w:ind w:left="0"/>
        <w:contextualSpacing w:val="0"/>
      </w:pPr>
      <w:r>
        <w:t>Cinge-se, pois, a controvérsia recursal à pretensão defensiva de que, na unificação das penas, seja aplicado o instituto da continuidade delitiva, previsto no artigo 71 do Código Penal.</w:t>
      </w:r>
    </w:p>
    <w:p w:rsidR="00A426B6" w:rsidRDefault="00A426B6" w:rsidP="00877419">
      <w:pPr>
        <w:pStyle w:val="PargrafodaLista"/>
        <w:ind w:left="0"/>
        <w:contextualSpacing w:val="0"/>
      </w:pPr>
      <w:r>
        <w:t>Em que pese o debate teórico das partes, sobre a inaplicabilidade da teoria objetivo-subjetiva em matéria de continuidade delitiva, forçoso observar que, no caso concreto, a diferença de modo de execução entre as condutas criminosas constitui incontornável obstáculo legal à aplicação do instituto.</w:t>
      </w:r>
    </w:p>
    <w:p w:rsidR="001D6A39" w:rsidRDefault="00A426B6" w:rsidP="00877419">
      <w:pPr>
        <w:pStyle w:val="PargrafodaLista"/>
        <w:ind w:left="0"/>
        <w:contextualSpacing w:val="0"/>
      </w:pPr>
      <w:r>
        <w:t>Com efeito, embora tratem-se de crimes de mesma espécie, praticados em projeção temporal sequenciada e em locais próximos,</w:t>
      </w:r>
      <w:r w:rsidR="001D6A39">
        <w:t xml:space="preserve"> o segundo crime foi executado de maneira diversa do primeiro, mediante concurso de pessoas. Trata-se de significativa diferença, que constitui hipótese de readequação típica mais gravosa do que o crime de furto simples.</w:t>
      </w:r>
    </w:p>
    <w:p w:rsidR="00A426B6" w:rsidRDefault="001D6A39" w:rsidP="00877419">
      <w:pPr>
        <w:pStyle w:val="PargrafodaLista"/>
        <w:ind w:left="0"/>
        <w:contextualSpacing w:val="0"/>
      </w:pPr>
      <w:r>
        <w:t>Ao se debruçar sobre a possibilidade de aplicação da continuidade delitiva entre furto simples e qualificado, o Superior Tribunal de Justiça assim se posicionou:</w:t>
      </w:r>
    </w:p>
    <w:p w:rsidR="001D6A39" w:rsidRDefault="00A426B6" w:rsidP="001D6A39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A426B6">
        <w:rPr>
          <w:sz w:val="20"/>
        </w:rPr>
        <w:t>AGRAVO REGIMENTAL NO HABEAS CORPUS SUBSTITUTIVO DE RECURSO PRÓPRIO. FURTO QUALIFICADO CONSUMADO E FURTO SIMPLES TENTADO EM CONCURSO MATERIAL. ILEGALIDADE NA INCIDÊNCIA DA QUALIFICADORA DA ESCALADA POR AUSÊNCIA DE LAUDO PERICIAL. POSSIBILIDADE. OUTROS ELEMENTOS APTOS A COMPROVAR A ESCALADA. AÇÃO DELITIVA QUE FOI FILMADA. PRECEDENTES. CONTINUIDADE DELITIVA ENTRE OS FURTOS. INVIABILIDADE. AUSÊNCIA DE SEMELHANÇA NO MODUS OPERANDI DAS CONDUTAS. REITERAÇÃO. NECESSIDADE DE REVOLVIMENTO DA MOLDURA FÁTICA E PROBATÓRIA DOS AUTOS. INVIABILIDADE NA VIA PROCESSUAL ELEITA. PRECEDENTES. AGRAVO REGIMENTAL NÃO PROVIDO.</w:t>
      </w:r>
      <w:r>
        <w:rPr>
          <w:sz w:val="20"/>
        </w:rPr>
        <w:t xml:space="preserve"> [...] 4. </w:t>
      </w:r>
      <w:r w:rsidRPr="00A426B6">
        <w:rPr>
          <w:sz w:val="20"/>
        </w:rPr>
        <w:t>A continuidade delitiva afigura-se quando as circunstâncias de modo, tempo e lugar da prática dos ilícitos apresentam relação de semelhança e unidade de desígnios, acarretando o reconhecimento do desdobramento da prática criminosa. Ademais, considerando a teoria mista, adotada por esta Corte Superior, a configuração do crime continuado depende tanto do preenchimento dos requisitos objetivos - mesmas condições de tempo, lugar e modo de execução - como também da demonstração da existência de unidade de desígnios entre os delitos praticados. Precedentes.</w:t>
      </w:r>
      <w:r>
        <w:rPr>
          <w:sz w:val="20"/>
        </w:rPr>
        <w:t xml:space="preserve"> 5.</w:t>
      </w:r>
      <w:r w:rsidRPr="00A426B6">
        <w:rPr>
          <w:sz w:val="20"/>
        </w:rPr>
        <w:t xml:space="preserve"> </w:t>
      </w:r>
      <w:r w:rsidRPr="001D6A39">
        <w:rPr>
          <w:i/>
          <w:sz w:val="20"/>
        </w:rPr>
        <w:t xml:space="preserve">In </w:t>
      </w:r>
      <w:proofErr w:type="spellStart"/>
      <w:r w:rsidRPr="001D6A39">
        <w:rPr>
          <w:i/>
          <w:sz w:val="20"/>
        </w:rPr>
        <w:t>casu</w:t>
      </w:r>
      <w:proofErr w:type="spellEnd"/>
      <w:r w:rsidRPr="00A426B6">
        <w:rPr>
          <w:sz w:val="20"/>
        </w:rPr>
        <w:t>, as instâncias de origem reconheceram que as condutas foram praticadas com desígnios absolutamente autônomos, pois o furto da bicicleta somente ocorreu com o intuito de facilitar a fuga do local, tanto assim, que o paciente a pegou no estacionamento do prédio e, não conseguindo passar pelo portão de saída, por haver sido surpreendido por uma moradora do edifício, abandonou-a e pulou o muro do condomínio para se evadir com os demais pertences.</w:t>
      </w:r>
      <w:r>
        <w:rPr>
          <w:sz w:val="20"/>
        </w:rPr>
        <w:t xml:space="preserve"> 6.</w:t>
      </w:r>
      <w:r w:rsidRPr="00A426B6">
        <w:rPr>
          <w:sz w:val="20"/>
        </w:rPr>
        <w:t xml:space="preserve"> Desse modo, não houve nenhuma semelhança no </w:t>
      </w:r>
      <w:r w:rsidRPr="001D6A39">
        <w:rPr>
          <w:i/>
          <w:sz w:val="20"/>
        </w:rPr>
        <w:t>modus operandi</w:t>
      </w:r>
      <w:r w:rsidRPr="00A426B6">
        <w:rPr>
          <w:sz w:val="20"/>
        </w:rPr>
        <w:t xml:space="preserve"> das condutas perpetradas, haja vista que para praticar o primeiro furto foi necessário o uso de escalada para ter acesso ao apartamento da vítima, enquanto para o segundo, apenas se apropriar da bicicleta.</w:t>
      </w:r>
      <w:r>
        <w:rPr>
          <w:sz w:val="20"/>
        </w:rPr>
        <w:t xml:space="preserve"> 7. </w:t>
      </w:r>
      <w:r w:rsidRPr="00A426B6">
        <w:rPr>
          <w:sz w:val="20"/>
        </w:rPr>
        <w:t>Não havendo, portanto, nenhuma ilegalidade na aplicação do concurso material de crimes.</w:t>
      </w:r>
      <w:r>
        <w:rPr>
          <w:sz w:val="20"/>
        </w:rPr>
        <w:t xml:space="preserve"> 8. </w:t>
      </w:r>
      <w:r w:rsidRPr="00A426B6">
        <w:rPr>
          <w:sz w:val="20"/>
        </w:rPr>
        <w:t>Agravo regimental não provido.</w:t>
      </w:r>
      <w:r>
        <w:rPr>
          <w:sz w:val="20"/>
        </w:rPr>
        <w:t xml:space="preserve"> </w:t>
      </w:r>
      <w:r w:rsidRPr="00A426B6">
        <w:rPr>
          <w:sz w:val="20"/>
        </w:rPr>
        <w:t>(</w:t>
      </w:r>
      <w:r>
        <w:rPr>
          <w:sz w:val="20"/>
        </w:rPr>
        <w:t xml:space="preserve">STJ. Quinta Turma: Relator: Ministro Reynaldo Soares da Fonseca. </w:t>
      </w:r>
      <w:proofErr w:type="spellStart"/>
      <w:r w:rsidRPr="001D6A39">
        <w:rPr>
          <w:sz w:val="20"/>
        </w:rPr>
        <w:t>AgRg</w:t>
      </w:r>
      <w:proofErr w:type="spellEnd"/>
      <w:r w:rsidRPr="001D6A39">
        <w:rPr>
          <w:sz w:val="20"/>
        </w:rPr>
        <w:t xml:space="preserve"> no HC n. 556.549/SC</w:t>
      </w:r>
      <w:r w:rsidR="001D6A39">
        <w:rPr>
          <w:sz w:val="20"/>
        </w:rPr>
        <w:t>. Data de Julgamento: 23-02-2021. Data de Publicação: 01-03-2021).</w:t>
      </w:r>
    </w:p>
    <w:p w:rsidR="00A426B6" w:rsidRDefault="001D6A39" w:rsidP="00877419">
      <w:pPr>
        <w:pStyle w:val="PargrafodaLista"/>
        <w:ind w:left="0"/>
        <w:contextualSpacing w:val="0"/>
      </w:pPr>
      <w:r>
        <w:t xml:space="preserve">Ademais, o ponto 59 da Exposição de Motivos do Código Penal, evocado pela defesa para ilustrar a inaplicação da teoria objetiva-subjetiva, </w:t>
      </w:r>
      <w:r w:rsidR="00BD7A75">
        <w:t>declara finalidade expressa de oposição ao crescimento da criminalidade profissional, organizada e violenta, cujas ações se repetem contra vítimas diferentes. A extensão da continuidade ao criminoso habitual tornaria o tratamento penais mais brando do que aquele dispensado a criminosos ocasionais.</w:t>
      </w:r>
    </w:p>
    <w:p w:rsidR="00BD7A75" w:rsidRDefault="00BD7A75" w:rsidP="00877419">
      <w:pPr>
        <w:pStyle w:val="PargrafodaLista"/>
        <w:ind w:left="0"/>
        <w:contextualSpacing w:val="0"/>
      </w:pPr>
      <w:r>
        <w:t>Veja-se:</w:t>
      </w:r>
    </w:p>
    <w:p w:rsidR="00BD7A75" w:rsidRPr="00BD7A75" w:rsidRDefault="00BD7A75" w:rsidP="00BD7A75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BD7A75">
        <w:rPr>
          <w:sz w:val="20"/>
        </w:rPr>
        <w:t>59. O critério da teoria puramente objetiva não se revelou na prática maiores inconvenientes, a despeito das objeções formuladas pelos partidários da teoria objetivo-subjetiva. O projeto optou pelo critério que mais adequadamente se opõe ao crescimento da criminalidade profissional, organizada e violenta, cujas ações se repetem contra vítimas diferentes, em condições de tempo, lugar, modos de execução e circunstâncias outras, marcadas por evidente semelhança. Estender-lhe o conceito de crime continuado importa em beneficiá-la, pois o delinquente profissional tornar-se-ia passível de tratamento penal menos grave que o dispensado a criminosos ocasionais. De resto, com a extinção, no Projeto, da medida de segurança para o imputável, urge reforçar o sistema, destinado penas mais lingas aos que estariam sujeitos à imposição de medida de segurança detentiva e que serão beneficiados pela abolição da medida. A Política Criminal atua, neste passo, em sentido inverso, a fim de evitar a libertação prematura de determinadas categorias de agentes, dotados de acentuada periculosidade.</w:t>
      </w:r>
    </w:p>
    <w:p w:rsidR="00F65289" w:rsidRDefault="00F65289" w:rsidP="00877419">
      <w:pPr>
        <w:pStyle w:val="PargrafodaLista"/>
        <w:ind w:left="0"/>
        <w:contextualSpacing w:val="0"/>
      </w:pPr>
      <w:r>
        <w:t>Assim, a pretensa continuidade delitiva, em detrimento do concurso material, revela-se manifestamente contrária ao propósito político-criminal de recrudescimento penal ao criminoso habitual, que pratica furtos de motocicletas serialmente, contra vítimas distintas e sob diferente modo de execução, como é o caso dos autos.</w:t>
      </w:r>
    </w:p>
    <w:p w:rsidR="00BD7A75" w:rsidRPr="00F65289" w:rsidRDefault="00BD7A75" w:rsidP="00877419">
      <w:pPr>
        <w:pStyle w:val="PargrafodaLista"/>
        <w:ind w:left="0"/>
        <w:contextualSpacing w:val="0"/>
      </w:pPr>
      <w:r>
        <w:t xml:space="preserve">Portanto, a conclusão jurídica adotada </w:t>
      </w:r>
      <w:r w:rsidR="00F65289">
        <w:t>pela</w:t>
      </w:r>
      <w:r>
        <w:t xml:space="preserve"> decisão objurgada </w:t>
      </w:r>
      <w:r w:rsidR="00F65289">
        <w:t xml:space="preserve">está conformada tanto com a literalidade do dispositivo legal </w:t>
      </w:r>
      <w:r w:rsidR="00F65289">
        <w:rPr>
          <w:i/>
        </w:rPr>
        <w:t xml:space="preserve">sub </w:t>
      </w:r>
      <w:proofErr w:type="spellStart"/>
      <w:r w:rsidR="00F65289">
        <w:rPr>
          <w:i/>
        </w:rPr>
        <w:t>examinen</w:t>
      </w:r>
      <w:proofErr w:type="spellEnd"/>
      <w:r w:rsidR="00F65289">
        <w:rPr>
          <w:i/>
        </w:rPr>
        <w:t xml:space="preserve">¸ </w:t>
      </w:r>
      <w:r w:rsidR="00F65289">
        <w:t>quanto com a teleologia da norma, razão pela qual deve se manter inalterada.</w:t>
      </w:r>
    </w:p>
    <w:p w:rsidR="00A426B6" w:rsidRDefault="00A426B6" w:rsidP="00877419">
      <w:pPr>
        <w:pStyle w:val="PargrafodaLista"/>
        <w:ind w:left="0"/>
        <w:contextualSpacing w:val="0"/>
      </w:pPr>
    </w:p>
    <w:p w:rsidR="00AA28DF" w:rsidRDefault="00E03C8B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</w:t>
      </w:r>
      <w:r w:rsidR="00AA28DF">
        <w:t>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 w:rsidR="00E03C8B">
        <w:t xml:space="preserve"> consiste em conhecer e negar provimento ao agravo.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056AE0">
        <w:rPr>
          <w:b/>
        </w:rPr>
        <w:t xml:space="preserve">– </w:t>
      </w:r>
      <w:bookmarkStart w:id="0" w:name="_GoBack"/>
      <w:bookmarkEnd w:id="0"/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56AE0"/>
    <w:rsid w:val="00165C47"/>
    <w:rsid w:val="001D6A39"/>
    <w:rsid w:val="0056686A"/>
    <w:rsid w:val="00627CA8"/>
    <w:rsid w:val="00672942"/>
    <w:rsid w:val="00877419"/>
    <w:rsid w:val="008F6CC4"/>
    <w:rsid w:val="00A417D0"/>
    <w:rsid w:val="00A426B6"/>
    <w:rsid w:val="00AA28DF"/>
    <w:rsid w:val="00AE47D1"/>
    <w:rsid w:val="00BD7A75"/>
    <w:rsid w:val="00DC37B4"/>
    <w:rsid w:val="00E03C8B"/>
    <w:rsid w:val="00E15501"/>
    <w:rsid w:val="00E87947"/>
    <w:rsid w:val="00F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00B1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51CB6-EE89-43F5-9423-C4DCB9708DE3}"/>
</file>

<file path=customXml/itemProps2.xml><?xml version="1.0" encoding="utf-8"?>
<ds:datastoreItem xmlns:ds="http://schemas.openxmlformats.org/officeDocument/2006/customXml" ds:itemID="{71BCDBCA-22AB-4C0A-A757-CFA3C7D7081F}"/>
</file>

<file path=customXml/itemProps3.xml><?xml version="1.0" encoding="utf-8"?>
<ds:datastoreItem xmlns:ds="http://schemas.openxmlformats.org/officeDocument/2006/customXml" ds:itemID="{5A8C7ED8-7631-4D06-8F6D-827CE7E9B2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1289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2024-02-08T17:42:00Z</dcterms:created>
  <dcterms:modified xsi:type="dcterms:W3CDTF">2024-06-12T21:18:00Z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360600</vt:r8>
  </property>
</Properties>
</file>