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AO JUÍZO DO ___º JUIZADO ESPECIAL CÍVEL DA COMARCA DE ILHÉUS/BA</w:t>
      </w:r>
    </w:p>
    <w:p>
      <w:pPr>
        <w:spacing w:after="300" w:line="3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Processo nº 0015262-49.2026.8.05.0103</w:t>
      </w:r>
    </w:p>
    <w:p>
      <w:pPr>
        <w:spacing w:after="160" w:line="3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JACIARA SANTOS DE JESUS</w:t>
      </w:r>
      <w:r>
        <w:rPr>
          <w:rFonts w:ascii="Arial" w:cs="Arial" w:eastAsia="Arial" w:hAnsi="Arial"/>
          <w:sz w:val="24"/>
          <w:szCs w:val="24"/>
        </w:rPr>
        <w:t xml:space="preserve">, já qualificada nos autos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AÇÃO DECLARATÓRIA DE INEXISTÊNCIA DE RELAÇÃO OBRIGACIONAL C/C REPETIÇÃO EM DOBRO DO INDÉBITO E INDENIZAÇÃO POR DANOS EXTRAPATRIMONIAIS</w:t>
      </w:r>
      <w:r>
        <w:rPr>
          <w:rFonts w:ascii="Arial" w:cs="Arial" w:eastAsia="Arial" w:hAnsi="Arial"/>
          <w:sz w:val="24"/>
          <w:szCs w:val="24"/>
        </w:rPr>
        <w:t xml:space="preserve"> que move em face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BANCO BRADESCO S.A.</w:t>
      </w:r>
      <w:r>
        <w:rPr>
          <w:rFonts w:ascii="Arial" w:cs="Arial" w:eastAsia="Arial" w:hAnsi="Arial"/>
          <w:sz w:val="24"/>
          <w:szCs w:val="24"/>
        </w:rPr>
        <w:t xml:space="preserve">, por seu advogado subscritor, vem, respeitosamente, apresentar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IMPUGNAÇÃO À CONTESTAÇÃO E AOS DOCUMENTOS QUE A ACOMPANHAM</w:t>
      </w:r>
      <w:r>
        <w:rPr>
          <w:rFonts w:ascii="Arial" w:cs="Arial" w:eastAsia="Arial" w:hAnsi="Arial"/>
          <w:sz w:val="24"/>
          <w:szCs w:val="24"/>
        </w:rPr>
        <w:t xml:space="preserve"> (art. 437, CPC), pelos fundamentos a seguir.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· SÍNTESE: O QUE A RÉ NÃO PROVOU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A Autora afirma, desde a inicial,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jamais contratou</w:t>
      </w:r>
      <w:r>
        <w:rPr>
          <w:rFonts w:ascii="Arial" w:cs="Arial" w:eastAsia="Arial" w:hAnsi="Arial"/>
          <w:sz w:val="24"/>
          <w:szCs w:val="24"/>
        </w:rPr>
        <w:t xml:space="preserve"> o empréstimo consignado descontado de seu benefício previdenciário (NB 195.496.786-9, rubrica 216, parcela de R$ 28,00, averbado em abril/2021 e excluído em 18/04/2023). Trata-se de fato negativo, que a Autora não tem como provar diretamente. À Ré, que detém os sistemas, os logs e os instrumentos, cabia demonstrar o fato impeditivo do direito autoral: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existência de contrato válido</w:t>
      </w:r>
      <w:r>
        <w:rPr>
          <w:rFonts w:ascii="Arial" w:cs="Arial" w:eastAsia="Arial" w:hAnsi="Arial"/>
          <w:sz w:val="24"/>
          <w:szCs w:val="24"/>
        </w:rPr>
        <w:t xml:space="preserve"> 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efetiva entrega do crédito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A Ré juntou apenas quatro documentos: (i) um “Documento Descritivo de Crédito” (DDC), emitido em 08/09/2026; (ii) o extrato da conta corrente da Autora; (iii) o extrato da poupança da Autora; e (iv) uma apresentação institucional intitulada “Consignado INSS – Jornada detalhada” (#LIDERA 2020).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Nenhum deles prova o que a Ré precisaria provar.</w:t>
      </w:r>
      <w:r>
        <w:rPr>
          <w:rFonts w:ascii="Arial" w:cs="Arial" w:eastAsia="Arial" w:hAnsi="Arial"/>
          <w:sz w:val="24"/>
          <w:szCs w:val="24"/>
        </w:rPr>
        <w:t xml:space="preserve"> Em síntese, a Ré não apresentou: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contrato ou cédula de crédito bancário assinada</w:t>
      </w:r>
      <w:r>
        <w:rPr>
          <w:rFonts w:ascii="Arial" w:cs="Arial" w:eastAsia="Arial" w:hAnsi="Arial"/>
          <w:sz w:val="24"/>
          <w:szCs w:val="24"/>
        </w:rPr>
        <w:t xml:space="preserve"> pela Autora, por qualquer meio (manuscrito, biométrico, token ou certificado digital);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comprovante de TED, DOC ou crédito</w:t>
      </w:r>
      <w:r>
        <w:rPr>
          <w:rFonts w:ascii="Arial" w:cs="Arial" w:eastAsia="Arial" w:hAnsi="Arial"/>
          <w:sz w:val="24"/>
          <w:szCs w:val="24"/>
        </w:rPr>
        <w:t xml:space="preserve"> do valor de R$ 963,24 em conta de titularidade da Autora — e os extratos que a própria Ré juntou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demonstram que esse valor nunca ingressou</w:t>
      </w:r>
      <w:r>
        <w:rPr>
          <w:rFonts w:ascii="Arial" w:cs="Arial" w:eastAsia="Arial" w:hAnsi="Arial"/>
          <w:sz w:val="24"/>
          <w:szCs w:val="24"/>
        </w:rPr>
        <w:t xml:space="preserve"> em suas contas;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qualquer registro</w:t>
      </w:r>
      <w:r>
        <w:rPr>
          <w:rFonts w:ascii="Arial" w:cs="Arial" w:eastAsia="Arial" w:hAnsi="Arial"/>
          <w:sz w:val="24"/>
          <w:szCs w:val="24"/>
        </w:rPr>
        <w:t xml:space="preserve"> de canal, data, hora, dispositivo, IP, geolocalização, operador ou correspondente (“promotora”) que tenha intermediado a operação.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aos fatos narrados na inicial e não impugnados de modo específico, incide a presunção do art. 341 do CPC.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[CONFERIR NA CONTESTAÇÃO: listar aqui, se houver, fatos da inicial não impugnados especificamente]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· DAS PRELIMINARES E PREJUDICIAIS [[SEÇÃO CONDICIONAL: manter apenas as efetivamente arguidas na contestação e apagar as demais]]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2.1 · “Falta de interesse de agir” por estar o contrato excluído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A exclusão do contrato da folha do INSS em 18/04/2023 não elimina o interesse da Autora: ela pretende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declarar a inexistência da relação</w:t>
      </w:r>
      <w:r>
        <w:rPr>
          <w:rFonts w:ascii="Arial" w:cs="Arial" w:eastAsia="Arial" w:hAnsi="Arial"/>
          <w:sz w:val="24"/>
          <w:szCs w:val="24"/>
        </w:rPr>
        <w:t xml:space="preserve">, obter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repetição</w:t>
      </w:r>
      <w:r>
        <w:rPr>
          <w:rFonts w:ascii="Arial" w:cs="Arial" w:eastAsia="Arial" w:hAnsi="Arial"/>
          <w:sz w:val="24"/>
          <w:szCs w:val="24"/>
        </w:rPr>
        <w:t xml:space="preserve"> dos valores já descontados 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reparação</w:t>
      </w:r>
      <w:r>
        <w:rPr>
          <w:rFonts w:ascii="Arial" w:cs="Arial" w:eastAsia="Arial" w:hAnsi="Arial"/>
          <w:sz w:val="24"/>
          <w:szCs w:val="24"/>
        </w:rPr>
        <w:t xml:space="preserve"> pelo ilícito. A cessação dos descontos não apaga o dano nem convalida o ato nulo (art. 169, CC). Ao contrário: a exclusão e o estorno de parcela feitos pela própria Ré (item 5.4) reforçam a irregularidade.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2.2 · Prescrição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Não há prescrição. A pretensão é de reparação por fato do serviço e de repetição de indébito, e o prazo é de cinco anos (art. 27, CDC)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, contados da ciência do dano. O primeiro desconto, segundo o próprio cronograma da Ré (DDC), venceu em 07/10/2021, e os descontos se estenderam até 2023. A ação foi ajuizada em 2026, dentro do quinquênio, e a Autora só tomou ciência dos descontos ao consultar o “Meu INSS”.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2.3 · Complexidade da causa / necessidade de perícia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Não há complexidade que afaste a competência do Juizado. A solução não depende de perícia: a Ré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juntou contrato algum</w:t>
      </w:r>
      <w:r>
        <w:rPr>
          <w:rFonts w:ascii="Arial" w:cs="Arial" w:eastAsia="Arial" w:hAnsi="Arial"/>
          <w:sz w:val="24"/>
          <w:szCs w:val="24"/>
        </w:rPr>
        <w:t xml:space="preserve"> a periciar, e o crédito alegado simplesmente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consta dos extratos</w:t>
      </w:r>
      <w:r>
        <w:rPr>
          <w:rFonts w:ascii="Arial" w:cs="Arial" w:eastAsia="Arial" w:hAnsi="Arial"/>
          <w:sz w:val="24"/>
          <w:szCs w:val="24"/>
        </w:rPr>
        <w:t xml:space="preserve"> que ela própria trouxe. A controvérsia se resolve por prova documental e, se necessário, pelo depoimento pessoal do preposto.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2.4 · Impugnação à gratuidade da justiça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A declaração de hipossuficiência de pessoa natural presume-se verdadeira (art. 99, § 3º, CPC). A Ré não trouxe qualquer elemento concreto em sentido contrário. Os extratos que juntou, aliás, mostram conta sem movimentação relevante e saldo de R$ 0,00 por anos, o que confirma a vulnerabilidade econômica da Autora.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· DOS DOCUMENTOS DA RÉ: O QUE PRETENDEM PROVAR E O QUE REALMENTE MOSTRAM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572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Documento da Ré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a Ré pretende provar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efetivamente mostra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DDC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(ID 26077260-02dw), emitido em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08/09/2026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em plena lide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Existência e regularidade do contrato nº 446583110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Documento informativo, produzido unilateralmente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após o ajuizamento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Não traz assinatura da Autora, hash, IP, token, biometria ou data/hora de aceite. Credita a conta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Ag. 4103 / C/C 7869591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que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é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 conta da Autora (Ag. 0237-2 / 578-9). Traz inconsistências internas (item 7).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Extrato da conta corrente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nº 578-9 (ID 26077260-06dw)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 do crédito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 lançamento de R$ 963,24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(ou valor próximo) entre 22/04/2021 e 2023. Sem movimento de 07/08/2020 a 28/10/2021. Só tarifas e, em 14/02/2022 e 18/07/2023,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estornos de parcela de consignado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feitos pela Ré.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Extrato da poupança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(razão 10.51, ID 26077260-04dw)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 do crédito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Também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qualquer crédito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compatível. Sem movimento de 07/08/2020 a 28/10/2021. O único TED do documento (R$ 14.982,50, em 20/08/2018) é de remetente estranho e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três anos anterior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ao contrato.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“Consignado INSS – Jornada detalhada”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(#LIDERA 2020, ID 26077260-07dw)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 a contratação digital é segura e teria sido seguida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Apresentação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genérica e institucional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de treinamento interno, com telas de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2017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Não menciona a Autora, o contrato, o canal usado nem a data. É descrição de como o banco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diz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que o produto funciona, não prova de que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foi assim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neste caso.</w:t>
            </w:r>
          </w:p>
        </w:tc>
      </w:tr>
    </w:tbl>
    <w:p>
      <w:pPr>
        <w:spacing w:after="60" w:line="340"/>
        <w:jc w:val="both"/>
      </w:pP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· DA AUSÊNCIA DE CONTRATO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4.1 · O DDC não é contrato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 DDC é relatório informativo do banco sobre uma operação, e o próprio documento assim se declara (“os dados contidos neste documento são apenas informativos”). Ele não contém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manifestação de vontade da Autora</w:t>
      </w:r>
      <w:r>
        <w:rPr>
          <w:rFonts w:ascii="Arial" w:cs="Arial" w:eastAsia="Arial" w:hAnsi="Arial"/>
          <w:sz w:val="24"/>
          <w:szCs w:val="24"/>
        </w:rPr>
        <w:t xml:space="preserve">, requisito de existência e validade do negócio jurídico (art. 104, CC). Não há cláusulas, nem identificação do canal, nem aceite. Um relatório emitido pelo banco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cinco anos depois</w:t>
      </w:r>
      <w:r>
        <w:rPr>
          <w:rFonts w:ascii="Arial" w:cs="Arial" w:eastAsia="Arial" w:hAnsi="Arial"/>
          <w:sz w:val="24"/>
          <w:szCs w:val="24"/>
        </w:rPr>
        <w:t xml:space="preserve"> da suposta operação,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depois de proposta a ação</w:t>
      </w:r>
      <w:r>
        <w:rPr>
          <w:rFonts w:ascii="Arial" w:cs="Arial" w:eastAsia="Arial" w:hAnsi="Arial"/>
          <w:sz w:val="24"/>
          <w:szCs w:val="24"/>
        </w:rPr>
        <w:t xml:space="preserve">, não substitui o contrato que deveria ter sido apresentado.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4.2 · A “assinatura eletrônica” do DDC é um rótulo de sistema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 rodapé do DDC diz: “Assinado eletronicamente no dia 22/04/2021 por meio do AQ.CREDITOCONSIGNADO”. Isso não é assinatura da Autora. “AQ.CREDITOCONSIGNADO” é o nome do produto/módulo interno do banco, o mesmo que consta do campo “Nome do Produto” (“AQ.CR.CONS.INSS/OUTROS ORGAOS PROMOTORA”). A assinatura eletrônica, para valer como aceite do consumidor, exige identificação do signatário, vínculo inequívoco com ele e registro verificável do ato (MP 2.200-2/2001, art. 10, § 2º, e Lei 14.063/2020). O DDC não traz nenhum desses elementos.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4.3 · Consignado em benefício do INSS exige autorização expressa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 desconto em benefício previdenciário depende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autorização expressa do beneficiário</w:t>
      </w:r>
      <w:r>
        <w:rPr>
          <w:rFonts w:ascii="Arial" w:cs="Arial" w:eastAsia="Arial" w:hAnsi="Arial"/>
          <w:sz w:val="24"/>
          <w:szCs w:val="24"/>
        </w:rPr>
        <w:t xml:space="preserve">, na forma da Lei 10.820/2003 (art. 6º)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 e da Instrução Normativa INSS/PRES nº 138/2022, que veda autorizações tácitas ou presumidas (conforme já exposto na inicial). A Ré averbou o desconto no benefício da Autora sem exibir essa autorização.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4.4 · O ônus da prova é da Ré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Há relação de consumo (Súmula 297/STJ) e a inversão do ônus é de pleno direito (art. 6º, VIII, CDC). Ademais, a Ré alega fato impeditivo do direito da Autora, o que lhe atrai o ônus do art. 373, II, do CPC. Quando o consumidor nega a autoria de assinatura ou de contratação bancária, é da instituição financeira o ônus de provar a autenticidade (STJ, Tema 1.061)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. A Ré teve a oportunidade processual de instruir a contestação com os documentos que dispunha (art. 434, CPC)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os juntou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Num Juizado Especial não cabe converter a omissão da Ré em pedido de exibição: a lacuna probatória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fato de mérito</w:t>
      </w:r>
      <w:r>
        <w:rPr>
          <w:rFonts w:ascii="Arial" w:cs="Arial" w:eastAsia="Arial" w:hAnsi="Arial"/>
          <w:sz w:val="24"/>
          <w:szCs w:val="24"/>
        </w:rPr>
        <w:t xml:space="preserve">. A ausência de contrato, de log e de comprovante de crédito, diante da inversão do ônus,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confirma a tese da inicial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· DA AUSÊNCIA DE TED / CRÉDITO: SEM ENTREGA DO VALOR, NÃO HÁ MÚTUO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5.1 · O mútuo é contrato real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 empréstimo bancário é mútuo, contrato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só se aperfeiçoa com a entrega do dinheiro</w:t>
      </w:r>
      <w:r>
        <w:rPr>
          <w:rFonts w:ascii="Arial" w:cs="Arial" w:eastAsia="Arial" w:hAnsi="Arial"/>
          <w:sz w:val="24"/>
          <w:szCs w:val="24"/>
        </w:rPr>
        <w:t xml:space="preserve"> ao mutuário (arts. 586 e 587, CC)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. Sem prova de que o numerário foi posto à disposição da Autora, não há dívida a cobrar, ainda que existisse papel assinado — e aqui nem papel existe.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5.2 · O DDC aponta para outra conta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Segundo o DDC, a operação está vinculada à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Agência 4103, Conta 7869591</w:t>
      </w:r>
      <w:r>
        <w:rPr>
          <w:rFonts w:ascii="Arial" w:cs="Arial" w:eastAsia="Arial" w:hAnsi="Arial"/>
          <w:sz w:val="24"/>
          <w:szCs w:val="24"/>
        </w:rPr>
        <w:t xml:space="preserve">. A Autora é titular das contas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Ag. 0237-2, C/C 578-9</w:t>
      </w:r>
      <w:r>
        <w:rPr>
          <w:rFonts w:ascii="Arial" w:cs="Arial" w:eastAsia="Arial" w:hAnsi="Arial"/>
          <w:sz w:val="24"/>
          <w:szCs w:val="24"/>
        </w:rPr>
        <w:t xml:space="preserve"> (conta corrente e poupança), as únicas cujos extratos a Ré juntou. A Ré não demonstrou que a conta 7869591 pertence à Autora, nem juntou qualquer comprovante de TED ou crédito para ela. Se o dinheiro foi para conta diversa,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foi para a Autora</w:t>
      </w:r>
      <w:r>
        <w:rPr>
          <w:rFonts w:ascii="Arial" w:cs="Arial" w:eastAsia="Arial" w:hAnsi="Arial"/>
          <w:sz w:val="24"/>
          <w:szCs w:val="24"/>
        </w:rPr>
        <w:t xml:space="preserve">; se foi para conta dela, o extrato mostraria o lançamento.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5.3 · Os extratos da própria Ré comprovam que o dinheiro nunca entrou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372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Extrato (Ag. 0237-2 / 578-9)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43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 corrente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(ID 26077260-06dw)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07/08/2020 a 15/09/2026 (emitido em 15/09/2026)</w:t>
            </w:r>
          </w:p>
        </w:tc>
        <w:tc>
          <w:tcPr>
            <w:tcW w:type="dxa" w:w="43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Saldo zero e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 lançamento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de 07/08/2020 até 28/10/2021. Em 22/04/2021 (data do contrato)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há crédito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Em todo o período,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 crédito de R$ 963,24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nem de R$ 927,28 (valor menos o IOF de R$ 35,96 informado no DDC).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Poupança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(razão 10.51, ID 26077260-04dw)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15/10/2015 a 14/09/2026 (emitido em 14/09/2026)</w:t>
            </w:r>
          </w:p>
        </w:tc>
        <w:tc>
          <w:tcPr>
            <w:tcW w:type="dxa" w:w="43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Mesmo vazio: sem movimento de 07/08/2020 a 28/10/2021. Em 22/04/2021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há crédito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compatível. Os únicos aportes de 2021–2023 são depósitos de R$ 150,00 e de R$ 259,00 a R$ 2.000,00, sem relação com o valor do contrato.</w:t>
            </w:r>
          </w:p>
        </w:tc>
      </w:tr>
    </w:tbl>
    <w:p>
      <w:pPr>
        <w:spacing w:after="60" w:line="340"/>
        <w:jc w:val="both"/>
      </w:pP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 que os extratos revelam é uma conta praticamente parada, que só recebia transferências internas da poupança para pagar tarifas de “cesta de serviços”, com saldo irrisório (de R$ 0,00 a poucas dezenas de reais, exceto lançamentos pontuais logo estornados ou consumidos por tarifas).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há TED, DOC, crédito em conta ou qualquer ingresso</w:t>
      </w:r>
      <w:r>
        <w:rPr>
          <w:rFonts w:ascii="Arial" w:cs="Arial" w:eastAsia="Arial" w:hAnsi="Arial"/>
          <w:sz w:val="24"/>
          <w:szCs w:val="24"/>
        </w:rPr>
        <w:t xml:space="preserve"> correspondente ao contrato nº 446583110. O único TED que aparece (R$ 14.982,50, de 20/08/2018, de remetente estranho aos autos) é três anos anterior à operação e de valor completamente distinto: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guarda relação alguma com este contrato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5.4 · A própria Ré estornou parcelas do consignado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Os extratos registram dois lançamentos a crédito da Autora sob o histórico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“ESTORNO DE PARC CONSIG”</w:t>
      </w:r>
      <w:r>
        <w:rPr>
          <w:rFonts w:ascii="Arial" w:cs="Arial" w:eastAsia="Arial" w:hAnsi="Arial"/>
          <w:sz w:val="24"/>
          <w:szCs w:val="24"/>
        </w:rPr>
        <w:t xml:space="preserve">: R$ 464,00 em 14/02/2022 e R$ 28,00 em 18/07/2023, este último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idêntico ao valor da parcela</w:t>
      </w:r>
      <w:r>
        <w:rPr>
          <w:rFonts w:ascii="Arial" w:cs="Arial" w:eastAsia="Arial" w:hAnsi="Arial"/>
          <w:sz w:val="24"/>
          <w:szCs w:val="24"/>
        </w:rPr>
        <w:t xml:space="preserve"> impugnada, lançado três meses depois da exclusão do contrato (18/04/2023). A Ré devolveu, portanto, ao menos uma parcela do consignado, o que é incompatível com a tese de contratação regular e válida. A Ré não explicou a origem desses estornos.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5.5 · A jornada institucional também desmente a Ré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Ainda que se admitisse como válida a “Jornada” (item 6 adiante), todos os canais nela descritos (mobile, internet banking, caixa eletrônico, terminal, link) pressupõem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cliente titular de conta corrente/poupança</w:t>
      </w:r>
      <w:r>
        <w:rPr>
          <w:rFonts w:ascii="Arial" w:cs="Arial" w:eastAsia="Arial" w:hAnsi="Arial"/>
          <w:sz w:val="24"/>
          <w:szCs w:val="24"/>
        </w:rPr>
        <w:t xml:space="preserve">, com cartão, senha, biometria e/ou token. Os extratos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registram nenhum crédito do benefício do INSS</w:t>
      </w:r>
      <w:r>
        <w:rPr>
          <w:rFonts w:ascii="Arial" w:cs="Arial" w:eastAsia="Arial" w:hAnsi="Arial"/>
          <w:sz w:val="24"/>
          <w:szCs w:val="24"/>
        </w:rPr>
        <w:t xml:space="preserve"> na conta da Autora no Bradesco e mantém conta praticamente sem uso. Para beneficiários de outros bancos, a própria apresentação prevê apenas a jornada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agência</w:t>
      </w:r>
      <w:r>
        <w:rPr>
          <w:rFonts w:ascii="Arial" w:cs="Arial" w:eastAsia="Arial" w:hAnsi="Arial"/>
          <w:sz w:val="24"/>
          <w:szCs w:val="24"/>
        </w:rPr>
        <w:t xml:space="preserve">, com atendimento presencial por funcionário. A Ré não indicou agência, atendente, terminal ou horário, nem juntou qualquer registro desse atendimento.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· DA “JORNADA CONSIGNADO INSS”: PROVA GENÉRICA NÃO PROVA CONTRATO ESPECÍFICO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 Doc. 07 é uma apresentação de treinamento (#LIDERA 2020) que mostra, em abstrato, como o banco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diz</w:t>
      </w:r>
      <w:r>
        <w:rPr>
          <w:rFonts w:ascii="Arial" w:cs="Arial" w:eastAsia="Arial" w:hAnsi="Arial"/>
          <w:sz w:val="24"/>
          <w:szCs w:val="24"/>
        </w:rPr>
        <w:t xml:space="preserve"> que o produto é contratado. Não é prova de que,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neste contrato, em 22/04/2021</w:t>
      </w:r>
      <w:r>
        <w:rPr>
          <w:rFonts w:ascii="Arial" w:cs="Arial" w:eastAsia="Arial" w:hAnsi="Arial"/>
          <w:sz w:val="24"/>
          <w:szCs w:val="24"/>
        </w:rPr>
        <w:t xml:space="preserve">, a Autora praticou qualquer daqueles passos. Em particular: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não identifica</w:t>
      </w:r>
      <w:r>
        <w:rPr>
          <w:rFonts w:ascii="Arial" w:cs="Arial" w:eastAsia="Arial" w:hAnsi="Arial"/>
          <w:sz w:val="24"/>
          <w:szCs w:val="24"/>
        </w:rPr>
        <w:t xml:space="preserve"> a Autora, o contrato nº 446583110, o canal, a data, o dispositivo, o IP ou o operador;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as telas de exemplo trazem datas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2017 e 2018</w:t>
      </w:r>
      <w:r>
        <w:rPr>
          <w:rFonts w:ascii="Arial" w:cs="Arial" w:eastAsia="Arial" w:hAnsi="Arial"/>
          <w:sz w:val="24"/>
          <w:szCs w:val="24"/>
        </w:rPr>
        <w:t xml:space="preserve"> (por exemplo, “Terça-feira, 1 de Agosto de 2017”), muito anteriores à contratação de 2021, e parte delas trata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consignado “Privado”</w:t>
      </w:r>
      <w:r>
        <w:rPr>
          <w:rFonts w:ascii="Arial" w:cs="Arial" w:eastAsia="Arial" w:hAnsi="Arial"/>
          <w:sz w:val="24"/>
          <w:szCs w:val="24"/>
        </w:rPr>
        <w:t xml:space="preserve">, produto diferente do consignado INSS do DDC;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os canais descritos exigem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validação de senha, token ou biometria</w:t>
      </w:r>
      <w:r>
        <w:rPr>
          <w:rFonts w:ascii="Arial" w:cs="Arial" w:eastAsia="Arial" w:hAnsi="Arial"/>
          <w:sz w:val="24"/>
          <w:szCs w:val="24"/>
        </w:rPr>
        <w:t xml:space="preserve">,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Ré não juntou nenhum registro</w:t>
      </w:r>
      <w:r>
        <w:rPr>
          <w:rFonts w:ascii="Arial" w:cs="Arial" w:eastAsia="Arial" w:hAnsi="Arial"/>
          <w:sz w:val="24"/>
          <w:szCs w:val="24"/>
        </w:rPr>
        <w:t xml:space="preserve"> de validação, sequer da senha ou token;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DDC identifica o produto como “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PROMOTORA</w:t>
      </w:r>
      <w:r>
        <w:rPr>
          <w:rFonts w:ascii="Arial" w:cs="Arial" w:eastAsia="Arial" w:hAnsi="Arial"/>
          <w:sz w:val="24"/>
          <w:szCs w:val="24"/>
        </w:rPr>
        <w:t xml:space="preserve">”, indício de intermediação por correspondente ou promotora de vendas, a respeito da qual a Ré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nada disse</w:t>
      </w:r>
      <w:r>
        <w:rPr>
          <w:rFonts w:ascii="Arial" w:cs="Arial" w:eastAsia="Arial" w:hAnsi="Arial"/>
          <w:sz w:val="24"/>
          <w:szCs w:val="24"/>
        </w:rPr>
        <w:t xml:space="preserve">: nem quem é, nem quem atendeu, nem como a Autora teria sido identificada.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Telas e fluxos genéricos não substituem prova específica da contratação. É como pretender provar uma venda mostrando o manual de treinamento do vendedor.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· DAS INCONSISTÊNCIAS INTERNAS DO PRÓPRIO DDC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Mesmo que o DDC pudesse valer como prova, seu conteúdo é contraditório e reforça a suspeita de irregularidade: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2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Ponto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Inconsistência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× cronograma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DDC informa operação de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R$ 963,24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(mais IOF de R$ 35,96, total R$ 999,20), mas a soma do “Valor Principal” de todas as 84 parcelas é de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R$ 1.238,71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 a soma das parcelas, R$ 2.352,00). O principal amortizado excede em R$ 239,51 o valor total financiado com IOF, sem explicação.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Taxa × CET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 taxa efetiva de 1,7843807% a.m., mas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CET de “0,00% A.A.”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campo de seguro zerado. CET zero é impossível em operação com juros e IOF e descumpre o dever de informação (art. 6º, III, CDC; Res. CMN 3.517/2007)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[VERIFICAR ANTES DE PROTOCOLAR]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Primeira parcela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Contrato de 22/04/2021 com primeiro vencimento em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07/10/2021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(quase seis meses depois) e primeira parcela de R$ 28,00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nenhum juro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em desacordo com a taxa que o próprio documento informa.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 de crédito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Aponta Ag. 4103 / C/C 7869591, diversa da conta da Autora (item 5.2).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origem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Emitido em 08/09/2026,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depois do ajuizamento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“em atendimento ao seu pedido” (de quem?), sem assinatura da Autora.</w:t>
            </w:r>
          </w:p>
        </w:tc>
      </w:tr>
    </w:tbl>
    <w:p>
      <w:pPr>
        <w:spacing w:after="60" w:line="340"/>
        <w:jc w:val="both"/>
      </w:pP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· DA RESPONSABILIDADE DA RÉ, DA REPETIÇÃO EM DOBRO E DO DANO MORAL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A instituição financeira responde objetivamente pelos danos causados por fraudes e delitos praticados por terceiros no âmbito de operações bancárias, por se tratar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fortuito interno</w:t>
      </w:r>
      <w:r>
        <w:rPr>
          <w:rFonts w:ascii="Arial" w:cs="Arial" w:eastAsia="Arial" w:hAnsi="Arial"/>
          <w:sz w:val="24"/>
          <w:szCs w:val="24"/>
        </w:rPr>
        <w:t xml:space="preserve"> (Súmula 479/STJ; art. 14, CDC). Cabe-lhe desenvolver mecanismos para dificultar fraudes e verificar a regularidade e a idoneidade das operações (STJ, REsp 2.052.228/DF, Rel. Min. Nancy Andrighi, 3ª T., j. 12.09.2023). Se a Ré averbou desconto em benefício previdenciário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sem contrato, sem autorização verificável e sem entrega do crédito</w:t>
      </w:r>
      <w:r>
        <w:rPr>
          <w:rFonts w:ascii="Arial" w:cs="Arial" w:eastAsia="Arial" w:hAnsi="Arial"/>
          <w:sz w:val="24"/>
          <w:szCs w:val="24"/>
        </w:rPr>
        <w:t xml:space="preserve">, falhou no dever de segurança. Esse é o fato do serviço que gera o dever de reparar.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Os descontos indevidos, feitos sobre verba de natureza alimentar, impõem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devolução em dobro</w:t>
      </w:r>
      <w:r>
        <w:rPr>
          <w:rFonts w:ascii="Arial" w:cs="Arial" w:eastAsia="Arial" w:hAnsi="Arial"/>
          <w:sz w:val="24"/>
          <w:szCs w:val="24"/>
        </w:rPr>
        <w:t xml:space="preserve">, nos termos do art. 42, parágrafo único, do CDC, bastando a cobrança contrária à boa-fé objetiva, independentemente de dolo (STJ, EAREsp 676.608/RS, Corte Especial, j. 21.10.2020). O desconto em benefício, sem contrato válido, sem sequer a entrega do valor, não se explica por engano justificável. A restituição deve observar o valor pedido na inicial, com correção desde cada desconto (Súmula 43/STJ) e juros de mora desde o evento danoso (Súmula 54/STJ).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O dano moral é presumido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in re ipsa</w:t>
      </w:r>
      <w:r>
        <w:rPr>
          <w:rFonts w:ascii="Arial" w:cs="Arial" w:eastAsia="Arial" w:hAnsi="Arial"/>
          <w:sz w:val="24"/>
          <w:szCs w:val="24"/>
        </w:rPr>
        <w:t xml:space="preserve">) quando há desconto indevido em benefício previdenciário de natureza alimentar (STJ, REsp 1.963.765, Rel. Min. Ricardo Villas Bôas Cueva, 3ª T., j. 22.11.2021, citado na inicial). A Autora foi privada, durante meses, de parte de seu único rendimento, e teve de enfrentar a barreira administrativa da Ré para tentar cancelar o contrato. Mantém-se, assim, o valor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R$ 40.000,00</w:t>
      </w:r>
      <w:r>
        <w:rPr>
          <w:rFonts w:ascii="Arial" w:cs="Arial" w:eastAsia="Arial" w:hAnsi="Arial"/>
          <w:sz w:val="24"/>
          <w:szCs w:val="24"/>
        </w:rPr>
        <w:t xml:space="preserve"> pleiteado na inicial, com correção desde o arbitramento (Súmula 362/STJ) e juros de mora desde o evento danoso (Súmula 54/STJ).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· DOS PEDIDOS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Diante do exposto, requer a Autora:</w:t>
      </w:r>
    </w:p>
    <w:p>
      <w:pPr>
        <w:pStyle w:val="ListParagraph"/>
        <w:numPr>
          <w:ilvl w:val="0"/>
          <w:numId w:val="4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acolhimento integral desta impugnação</w:t>
      </w:r>
      <w:r>
        <w:rPr>
          <w:rFonts w:ascii="Arial" w:cs="Arial" w:eastAsia="Arial" w:hAnsi="Arial"/>
          <w:sz w:val="24"/>
          <w:szCs w:val="24"/>
        </w:rPr>
        <w:t xml:space="preserve"> e a rejeição de todas as preliminares e prejudiciais arguidas pela Ré;</w:t>
      </w:r>
    </w:p>
    <w:p>
      <w:pPr>
        <w:pStyle w:val="ListParagraph"/>
        <w:numPr>
          <w:ilvl w:val="0"/>
          <w:numId w:val="4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reconhecimento de que a Ré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comprovou a existência de contrato</w:t>
      </w:r>
      <w:r>
        <w:rPr>
          <w:rFonts w:ascii="Arial" w:cs="Arial" w:eastAsia="Arial" w:hAnsi="Arial"/>
          <w:sz w:val="24"/>
          <w:szCs w:val="24"/>
        </w:rPr>
        <w:t xml:space="preserve"> nem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entrega do crédito</w:t>
      </w:r>
      <w:r>
        <w:rPr>
          <w:rFonts w:ascii="Arial" w:cs="Arial" w:eastAsia="Arial" w:hAnsi="Arial"/>
          <w:sz w:val="24"/>
          <w:szCs w:val="24"/>
        </w:rPr>
        <w:t xml:space="preserve">, e, com a inversão do ônus da prova (art. 6º, VIII, CDC; art. 373, II, CPC), a consequente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presunção de veracidade</w:t>
      </w:r>
      <w:r>
        <w:rPr>
          <w:rFonts w:ascii="Arial" w:cs="Arial" w:eastAsia="Arial" w:hAnsi="Arial"/>
          <w:sz w:val="24"/>
          <w:szCs w:val="24"/>
        </w:rPr>
        <w:t xml:space="preserve"> das alegações da inicial;</w:t>
      </w:r>
    </w:p>
    <w:p>
      <w:pPr>
        <w:pStyle w:val="ListParagraph"/>
        <w:numPr>
          <w:ilvl w:val="0"/>
          <w:numId w:val="4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no mérito,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PROCEDÊNCIA INTEGRAL</w:t>
      </w:r>
      <w:r>
        <w:rPr>
          <w:rFonts w:ascii="Arial" w:cs="Arial" w:eastAsia="Arial" w:hAnsi="Arial"/>
          <w:sz w:val="24"/>
          <w:szCs w:val="24"/>
        </w:rPr>
        <w:t xml:space="preserve"> dos pedidos da inicial, para: (i) declarar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inexistência da relação jurídica</w:t>
      </w:r>
      <w:r>
        <w:rPr>
          <w:rFonts w:ascii="Arial" w:cs="Arial" w:eastAsia="Arial" w:hAnsi="Arial"/>
          <w:sz w:val="24"/>
          <w:szCs w:val="24"/>
        </w:rPr>
        <w:t xml:space="preserve"> e a inexigibilidade dos débitos; (ii) condenar a Ré à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restituição em dobro</w:t>
      </w:r>
      <w:r>
        <w:rPr>
          <w:rFonts w:ascii="Arial" w:cs="Arial" w:eastAsia="Arial" w:hAnsi="Arial"/>
          <w:sz w:val="24"/>
          <w:szCs w:val="24"/>
        </w:rPr>
        <w:t xml:space="preserve"> de todos os valores descontados, nos termos da inicial; (iii) condenar a Ré ao pagamento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indenização por danos morais de R$ 40.000,00</w:t>
      </w:r>
      <w:r>
        <w:rPr>
          <w:rFonts w:ascii="Arial" w:cs="Arial" w:eastAsia="Arial" w:hAnsi="Arial"/>
          <w:sz w:val="24"/>
          <w:szCs w:val="24"/>
        </w:rPr>
        <w:t xml:space="preserve">, com os consectários indicados; e (iv) confirmar a tutela de urgência, se concedida;</w:t>
      </w:r>
    </w:p>
    <w:p>
      <w:pPr>
        <w:pStyle w:val="ListParagraph"/>
        <w:numPr>
          <w:ilvl w:val="0"/>
          <w:numId w:val="4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em caso de necessidade de dilação, a produção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prova oral</w:t>
      </w:r>
      <w:r>
        <w:rPr>
          <w:rFonts w:ascii="Arial" w:cs="Arial" w:eastAsia="Arial" w:hAnsi="Arial"/>
          <w:sz w:val="24"/>
          <w:szCs w:val="24"/>
        </w:rPr>
        <w:t xml:space="preserve">, em especial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depoimento pessoal do preposto</w:t>
      </w:r>
      <w:r>
        <w:rPr>
          <w:rFonts w:ascii="Arial" w:cs="Arial" w:eastAsia="Arial" w:hAnsi="Arial"/>
          <w:sz w:val="24"/>
          <w:szCs w:val="24"/>
        </w:rPr>
        <w:t xml:space="preserve"> da Ré, sob pena de confissão (art. 385, § 1º, CPC)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, e a oitiva da Autora;</w:t>
      </w:r>
    </w:p>
    <w:p>
      <w:pPr>
        <w:pStyle w:val="ListParagraph"/>
        <w:numPr>
          <w:ilvl w:val="0"/>
          <w:numId w:val="4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condenação da Ré nos ônus da sucumbência, caso interponha recurso (art. 55 da Lei 9.099/95)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500" w:line="340"/>
        <w:jc w:val="left"/>
      </w:pPr>
      <w:r>
        <w:rPr>
          <w:rFonts w:ascii="Arial" w:cs="Arial" w:eastAsia="Arial" w:hAnsi="Arial"/>
          <w:sz w:val="24"/>
          <w:szCs w:val="24"/>
        </w:rPr>
        <w:t xml:space="preserve">Ilhéus/BA, data do protocolo eletrônico.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_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_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_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_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_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_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_</w:t>
      </w:r>
      <w:r>
        <w:rPr>
          <w:rFonts w:ascii="Arial" w:cs="Arial" w:eastAsia="Arial" w:hAnsi="Arial"/>
          <w:sz w:val="24"/>
          <w:szCs w:val="24"/>
        </w:rPr>
        <w:t xml:space="preserve">___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OAB/MS 17.311 — inscrição suplementar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[CONFIRMAR OAB/BA 92.148 ou situação da suplementar]</w:t>
      </w:r>
    </w:p>
    <w:sectPr>
      <w:footerReference w:type="default" r:id="rId7"/>
      <w:pgSz w:w="11906" w:h="16838" w:orient="portrait"/>
      <w:pgMar w:top="1700" w:right="1134" w:bottom="13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Impugnação à Contestação — Proc. 0015262-49.2026.8.05.0103 — 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2026-10-21T04:29:17.284Z</dcterms:created>
  <dcterms:modified xsi:type="dcterms:W3CDTF">2026-10-21T04:29:17.284Z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