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360" w:lineRule="auto" w:after="160" w:before="240"/>
        <w:jc w:val="left"/>
        <w:pBdr>
          <w:bottom w:val="single" w:sz="8" w:space="1" w:color="1F3864"/>
        </w:pBdr>
      </w:pPr>
      <w:r>
        <w:rPr>
          <w:b/>
          <w:color w:val="1F3864"/>
        </w:rPr>
        <w:t>PARTE A — PETIÇÃO DE INTERPOSIÇÃO</w:t>
      </w:r>
    </w:p>
    <w:p>
      <w:pPr>
        <w:spacing w:line="360" w:lineRule="auto" w:after="120"/>
        <w:jc w:val="both"/>
      </w:pPr>
      <w:r>
        <w:rPr>
          <w:b/>
        </w:rPr>
        <w:t>AO JUÍZO DA 9ª VARA DO SISTEMA DOS JUIZADOS ESPECIAIS DO CONSUMIDOR (MATUTINO) DA COMARCA DE SALVADOR — BAHIA</w:t>
      </w:r>
    </w:p>
    <w:p>
      <w:pPr>
        <w:spacing w:line="360" w:lineRule="auto" w:after="120"/>
        <w:jc w:val="both"/>
      </w:pPr>
      <w:r>
        <w:rPr>
          <w:b/>
          <w:i w:val="0"/>
        </w:rPr>
        <w:t>Processo nº 0166309-85.2026.8.05.0001</w:t>
      </w:r>
    </w:p>
    <w:p>
      <w:pPr>
        <w:spacing w:line="360" w:lineRule="auto" w:after="120"/>
        <w:jc w:val="both"/>
      </w:pPr>
      <w:r>
        <w:rPr>
          <w:b/>
          <w:i w:val="0"/>
        </w:rPr>
        <w:t>PRIORIDADE DE TRAMITAÇÃO — PESSOA IDOSA</w:t>
      </w:r>
      <w:r>
        <w:rPr>
          <w:b w:val="0"/>
          <w:i w:val="0"/>
        </w:rPr>
        <w:t xml:space="preserve"> (art. 71, Lei 10.741/2003; art. 1.048, I, CPC)</w:t>
      </w:r>
    </w:p>
    <w:p>
      <w:pPr>
        <w:spacing w:line="360" w:lineRule="auto" w:after="120"/>
        <w:ind w:firstLine="708"/>
        <w:jc w:val="both"/>
      </w:pPr>
      <w:r>
        <w:rPr>
          <w:b/>
          <w:i w:val="0"/>
        </w:rPr>
        <w:t>MARY RAIMUNDA SANTOS ALMEIDA</w:t>
      </w:r>
      <w:r>
        <w:rPr>
          <w:b w:val="0"/>
          <w:i w:val="0"/>
        </w:rPr>
        <w:t xml:space="preserve">, já qualificada nos autos da ação que move em face de </w:t>
      </w:r>
      <w:r>
        <w:rPr>
          <w:b/>
          <w:i w:val="0"/>
        </w:rPr>
        <w:t>BANCO SANTANDER (BRASIL) S.A.</w:t>
      </w:r>
      <w:r>
        <w:rPr>
          <w:b w:val="0"/>
          <w:i w:val="0"/>
        </w:rPr>
        <w:t xml:space="preserve">, por seu advogado signatário, vem, respeitosamente, perante Vossa Excelência, com fundamento no </w:t>
      </w:r>
      <w:r>
        <w:rPr>
          <w:b/>
          <w:i w:val="0"/>
        </w:rPr>
        <w:t>art. 41 da Lei nº 9.099/95</w:t>
      </w:r>
      <w:r>
        <w:rPr>
          <w:b w:val="0"/>
          <w:i w:val="0"/>
        </w:rPr>
        <w:t xml:space="preserve">, interpor </w:t>
      </w:r>
      <w:r>
        <w:rPr>
          <w:b/>
          <w:i w:val="0"/>
        </w:rPr>
        <w:t>RECURSO INOMINADO</w:t>
      </w:r>
      <w:r>
        <w:rPr>
          <w:b w:val="0"/>
          <w:i w:val="0"/>
        </w:rPr>
        <w:t xml:space="preserve"> contra a r. sentença de improcedência (Id. 207128241), pelas razões anexas, que requer sejam recebidas, processadas e remetidas à Egrégia Turma Recursal competente, após as contrarrazões.</w:t>
      </w:r>
    </w:p>
    <w:p>
      <w:pPr>
        <w:keepNext/>
        <w:spacing w:line="360" w:lineRule="auto" w:after="120" w:before="160"/>
        <w:jc w:val="left"/>
      </w:pPr>
      <w:r>
        <w:rPr>
          <w:b/>
          <w:color w:val="1F3864"/>
        </w:rPr>
        <w:t>1. DA TEMPESTIVIDADE</w:t>
      </w:r>
    </w:p>
    <w:p>
      <w:pPr>
        <w:spacing w:line="360" w:lineRule="auto" w:after="120"/>
        <w:ind w:firstLine="708"/>
        <w:jc w:val="both"/>
      </w:pPr>
      <w:r>
        <w:rPr>
          <w:b w:val="0"/>
          <w:i w:val="0"/>
        </w:rPr>
        <w:t>A recorrente foi intimada da sentença em 06/10/2026 [VERIFICAR ANTES DE PROTOCOLAR: data de intimação nos autos]. O prazo de 10 dias (art. 42, Lei 9.099/95) encerra-se em 21/10/2026, contados em dias úteis e excluído o feriado de 12/10/2026 [VERIFICAR ANTES DE PROTOCOLAR: calendário forense]. O recurso é, portanto, tempestivo.</w:t>
      </w:r>
    </w:p>
    <w:p>
      <w:pPr>
        <w:keepNext/>
        <w:spacing w:line="360" w:lineRule="auto" w:after="120" w:before="160"/>
        <w:jc w:val="left"/>
      </w:pPr>
      <w:r>
        <w:rPr>
          <w:b/>
          <w:color w:val="1F3864"/>
        </w:rPr>
        <w:t>2. DO PEDIDO DE GRATUIDADE DA JUSTIÇA E DA DISPENSA DE PREPARO</w:t>
      </w:r>
    </w:p>
    <w:p>
      <w:pPr>
        <w:spacing w:line="360" w:lineRule="auto" w:after="120"/>
        <w:ind w:firstLine="708"/>
        <w:jc w:val="both"/>
      </w:pPr>
      <w:r>
        <w:rPr>
          <w:b w:val="0"/>
          <w:i w:val="0"/>
        </w:rPr>
        <w:t xml:space="preserve">A sentença consignou que a gratuidade será apreciada por ocasião da interposição do recurso, mediante documentos que comprovem a insuficiência de recursos. A recorrente requer a gratuidade da justiça (art. 98, CPC; art. 5º, LXXIV, CF) e instrui este pedido com o </w:t>
      </w:r>
      <w:r>
        <w:rPr>
          <w:b/>
          <w:i w:val="0"/>
        </w:rPr>
        <w:t>Histórico de Créditos do INSS emitido em 04/09/2026 (Doc. 1)</w:t>
      </w:r>
      <w:r>
        <w:rPr>
          <w:b w:val="0"/>
          <w:i w:val="0"/>
        </w:rPr>
        <w:t>, documento oficial e autenticável no portal Meu INSS, do qual constam os seguintes dados: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531"/>
            <w:shd w:val="clear" w:fill="D9E2F3"/>
          </w:tcPr>
          <w:p>
            <w:pPr>
              <w:spacing w:line="240" w:lineRule="auto" w:after="40"/>
            </w:pPr>
            <w:r/>
            <w:r>
              <w:rPr>
                <w:b/>
                <w:sz w:val="19"/>
              </w:rPr>
              <w:t>Benefício (INSS)</w:t>
            </w:r>
          </w:p>
        </w:tc>
        <w:tc>
          <w:tcPr>
            <w:tcW w:type="dxa" w:w="2608"/>
            <w:shd w:val="clear" w:fill="D9E2F3"/>
          </w:tcPr>
          <w:p>
            <w:pPr>
              <w:spacing w:line="240" w:lineRule="auto" w:after="40"/>
            </w:pPr>
            <w:r/>
            <w:r>
              <w:rPr>
                <w:b/>
                <w:sz w:val="19"/>
              </w:rPr>
              <w:t>Espécie</w:t>
            </w:r>
          </w:p>
        </w:tc>
        <w:tc>
          <w:tcPr>
            <w:tcW w:type="dxa" w:w="1417"/>
            <w:shd w:val="clear" w:fill="D9E2F3"/>
          </w:tcPr>
          <w:p>
            <w:pPr>
              <w:spacing w:line="240" w:lineRule="auto" w:after="40"/>
            </w:pPr>
            <w:r/>
            <w:r>
              <w:rPr>
                <w:b/>
                <w:sz w:val="19"/>
              </w:rPr>
              <w:t>Valor bruto (08/2026)</w:t>
            </w:r>
          </w:p>
        </w:tc>
        <w:tc>
          <w:tcPr>
            <w:tcW w:type="dxa" w:w="1701"/>
            <w:shd w:val="clear" w:fill="D9E2F3"/>
          </w:tcPr>
          <w:p>
            <w:pPr>
              <w:spacing w:line="240" w:lineRule="auto" w:after="40"/>
            </w:pPr>
            <w:r/>
            <w:r>
              <w:rPr>
                <w:b/>
                <w:sz w:val="19"/>
              </w:rPr>
              <w:t>Descontos (rubricas 216, 217 e 268)</w:t>
            </w:r>
          </w:p>
        </w:tc>
        <w:tc>
          <w:tcPr>
            <w:tcW w:type="dxa" w:w="1474"/>
            <w:shd w:val="clear" w:fill="D9E2F3"/>
          </w:tcPr>
          <w:p>
            <w:pPr>
              <w:spacing w:line="240" w:lineRule="auto" w:after="40"/>
            </w:pPr>
            <w:r/>
            <w:r>
              <w:rPr>
                <w:b/>
                <w:sz w:val="19"/>
              </w:rPr>
              <w:t>Líquido recebido (08/2026)</w:t>
            </w:r>
          </w:p>
        </w:tc>
      </w:tr>
      <w:tr>
        <w:tc>
          <w:tcPr>
            <w:tcW w:type="dxa" w:w="1531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NB 109.005.597-5</w:t>
            </w:r>
          </w:p>
        </w:tc>
        <w:tc>
          <w:tcPr>
            <w:tcW w:type="dxa" w:w="2608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Aposentadoria por incapacidade permanente previdenciária (DIB 01/02/1998)</w:t>
            </w:r>
          </w:p>
        </w:tc>
        <w:tc>
          <w:tcPr>
            <w:tcW w:type="dxa" w:w="1417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R$ 1.621,00</w:t>
            </w:r>
          </w:p>
        </w:tc>
        <w:tc>
          <w:tcPr>
            <w:tcW w:type="dxa" w:w="1701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R$ 692,79</w:t>
            </w:r>
          </w:p>
        </w:tc>
        <w:tc>
          <w:tcPr>
            <w:tcW w:type="dxa" w:w="1474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R$ 928,21</w:t>
            </w:r>
          </w:p>
        </w:tc>
      </w:tr>
      <w:tr>
        <w:tc>
          <w:tcPr>
            <w:tcW w:type="dxa" w:w="1531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NB 084.690.671-6</w:t>
            </w:r>
          </w:p>
        </w:tc>
        <w:tc>
          <w:tcPr>
            <w:tcW w:type="dxa" w:w="2608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Pensão por morte por acidente de trabalho (DIB 21/08/1988)</w:t>
            </w:r>
          </w:p>
        </w:tc>
        <w:tc>
          <w:tcPr>
            <w:tcW w:type="dxa" w:w="1417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R$ 1.621,00</w:t>
            </w:r>
          </w:p>
        </w:tc>
        <w:tc>
          <w:tcPr>
            <w:tcW w:type="dxa" w:w="1701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R$ 687,49</w:t>
            </w:r>
          </w:p>
        </w:tc>
        <w:tc>
          <w:tcPr>
            <w:tcW w:type="dxa" w:w="1474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R$ 933,51</w:t>
            </w:r>
          </w:p>
        </w:tc>
      </w:tr>
      <w:tr>
        <w:tc>
          <w:tcPr>
            <w:tcW w:type="dxa" w:w="1531"/>
          </w:tcPr>
          <w:p>
            <w:pPr>
              <w:spacing w:line="240" w:lineRule="auto" w:after="40"/>
            </w:pPr>
            <w:r/>
            <w:r>
              <w:rPr>
                <w:b/>
                <w:sz w:val="19"/>
              </w:rPr>
              <w:t>Total</w:t>
            </w:r>
          </w:p>
        </w:tc>
        <w:tc>
          <w:tcPr>
            <w:tcW w:type="dxa" w:w="2608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417"/>
          </w:tcPr>
          <w:p>
            <w:pPr>
              <w:spacing w:line="240" w:lineRule="auto" w:after="40"/>
            </w:pPr>
            <w:r/>
            <w:r>
              <w:rPr>
                <w:b/>
                <w:sz w:val="19"/>
              </w:rPr>
              <w:t>R$ 3.242,00</w:t>
            </w:r>
          </w:p>
        </w:tc>
        <w:tc>
          <w:tcPr>
            <w:tcW w:type="dxa" w:w="1701"/>
          </w:tcPr>
          <w:p>
            <w:pPr>
              <w:spacing w:line="240" w:lineRule="auto" w:after="40"/>
            </w:pPr>
            <w:r/>
            <w:r>
              <w:rPr>
                <w:b/>
                <w:sz w:val="19"/>
              </w:rPr>
              <w:t>R$ 1.380,28</w:t>
            </w:r>
          </w:p>
        </w:tc>
        <w:tc>
          <w:tcPr>
            <w:tcW w:type="dxa" w:w="1474"/>
          </w:tcPr>
          <w:p>
            <w:pPr>
              <w:spacing w:line="240" w:lineRule="auto" w:after="40"/>
            </w:pPr>
            <w:r/>
            <w:r>
              <w:rPr>
                <w:b/>
                <w:sz w:val="19"/>
              </w:rPr>
              <w:t>R$ 1.861,72</w:t>
            </w:r>
          </w:p>
        </w:tc>
      </w:tr>
    </w:tbl>
    <w:p>
      <w:pPr>
        <w:spacing w:after="80"/>
      </w:pPr>
    </w:p>
    <w:p>
      <w:pPr>
        <w:spacing w:line="360" w:lineRule="auto" w:after="120"/>
        <w:ind w:firstLine="708"/>
        <w:jc w:val="both"/>
      </w:pPr>
      <w:r>
        <w:rPr>
          <w:b w:val="0"/>
          <w:i w:val="0"/>
        </w:rPr>
        <w:t xml:space="preserve">Os documentos demonstram que a recorrente, pessoa idosa (nascida em 08/02/1960), é titular de dois benefícios previdenciários de um salário mínimo cada, pagos em conta no Banco Mercantil (389), e que </w:t>
      </w:r>
      <w:r>
        <w:rPr>
          <w:b/>
          <w:i w:val="0"/>
        </w:rPr>
        <w:t>cerca de 42,6% da renda bruta (R$ 1.380,28 de R$ 3.242,00)</w:t>
      </w:r>
      <w:r>
        <w:rPr>
          <w:b w:val="0"/>
          <w:i w:val="0"/>
        </w:rPr>
        <w:t xml:space="preserve"> é retida mensalmente, diretamente na fonte, a título de empréstimos consignados, reserva de margem de cartão e consignação de cartão. A renda efetivamente disponível, de R$ 1.861,72 para toda a subsistência, evidencia a impossibilidade de arcar com custas e despesas processuais sem prejuízo do sustento próprio.</w:t>
      </w:r>
    </w:p>
    <w:p>
      <w:pPr>
        <w:spacing w:line="360" w:lineRule="auto" w:after="120"/>
        <w:ind w:firstLine="708"/>
        <w:jc w:val="both"/>
      </w:pPr>
      <w:r>
        <w:rPr>
          <w:b w:val="0"/>
          <w:i w:val="0"/>
        </w:rPr>
        <w:t xml:space="preserve">Requer, assim, o deferimento da gratuidade, com a consequente </w:t>
      </w:r>
      <w:r>
        <w:rPr>
          <w:b/>
          <w:i w:val="0"/>
        </w:rPr>
        <w:t>dispensa de preparo</w:t>
      </w:r>
      <w:r>
        <w:rPr>
          <w:b w:val="0"/>
          <w:i w:val="0"/>
        </w:rPr>
        <w:t xml:space="preserve"> (art. 42, § 1º, Lei 9.099/95). Subsidiariamente, caso a gratuidade seja indeferida, requer seja oportunizado o recolhimento do preparo em prazo a ser fixado, nos termos do art. 99, § 7º, do CPC [VERIFICAR ANTES DE PROTOCOLAR: redação do dispositivo].</w:t>
      </w:r>
    </w:p>
    <w:p>
      <w:pPr>
        <w:keepNext/>
        <w:spacing w:line="360" w:lineRule="auto" w:after="120" w:before="160"/>
        <w:jc w:val="left"/>
      </w:pPr>
      <w:r>
        <w:rPr>
          <w:b/>
          <w:color w:val="1F3864"/>
        </w:rPr>
        <w:t>3. DOS REQUERIMENTOS</w:t>
      </w:r>
    </w:p>
    <w:p>
      <w:pPr>
        <w:spacing w:line="360" w:lineRule="auto" w:after="120"/>
        <w:ind w:firstLine="708"/>
        <w:jc w:val="both"/>
      </w:pPr>
      <w:r>
        <w:rPr>
          <w:b w:val="0"/>
          <w:i w:val="0"/>
        </w:rPr>
        <w:t>Requer o recebimento do recurso, o processamento com as razões anexas e a remessa dos autos à Egrégia Turma Recursal, com a anotação de que todas as intimações sejam feitas em nome do advogado signatário.</w:t>
      </w:r>
    </w:p>
    <w:p>
      <w:pPr>
        <w:spacing w:line="360" w:lineRule="auto" w:after="120"/>
        <w:jc w:val="both"/>
      </w:pPr>
      <w:r>
        <w:rPr>
          <w:b w:val="0"/>
          <w:i w:val="0"/>
        </w:rPr>
        <w:t>Termos em que pede deferimento.</w:t>
      </w:r>
    </w:p>
    <w:p>
      <w:pPr>
        <w:spacing w:line="360" w:lineRule="auto" w:after="120"/>
        <w:jc w:val="both"/>
      </w:pPr>
      <w:r>
        <w:rPr>
          <w:b w:val="0"/>
          <w:i w:val="0"/>
        </w:rPr>
        <w:t>Salvador/BA, data da assinatura eletrônica.</w:t>
      </w:r>
    </w:p>
    <w:p>
      <w:pPr>
        <w:spacing w:line="360" w:lineRule="auto" w:after="120"/>
        <w:jc w:val="center"/>
      </w:pPr>
      <w:r>
        <w:rPr>
          <w:b w:val="0"/>
          <w:i w:val="0"/>
        </w:rPr>
        <w:t>CLEYTON DA SILVA BARBOSA</w:t>
        <w:br/>
        <w:t>OAB/MS 17.311 — OAB/BA 92.148</w:t>
      </w:r>
    </w:p>
    <w:p>
      <w:r>
        <w:br w:type="page"/>
      </w:r>
    </w:p>
    <w:p>
      <w:pPr>
        <w:keepNext/>
        <w:spacing w:line="360" w:lineRule="auto" w:after="160" w:before="240"/>
        <w:jc w:val="left"/>
        <w:pBdr>
          <w:bottom w:val="single" w:sz="8" w:space="1" w:color="1F3864"/>
        </w:pBdr>
      </w:pPr>
      <w:r>
        <w:rPr>
          <w:b/>
          <w:color w:val="1F3864"/>
        </w:rPr>
        <w:t>PARTE B — RAZÕES DO RECURSO INOMINADO</w:t>
      </w:r>
    </w:p>
    <w:p>
      <w:pPr>
        <w:spacing w:line="360" w:lineRule="auto" w:after="120"/>
        <w:jc w:val="both"/>
      </w:pPr>
      <w:r>
        <w:rPr>
          <w:b/>
        </w:rPr>
        <w:t>EGRÉGIA TURMA RECURSAL DOS JUIZADOS ESPECIAIS CÍVEIS DO ESTADO DA BAHIA</w:t>
      </w:r>
    </w:p>
    <w:p>
      <w:pPr>
        <w:spacing w:line="360" w:lineRule="auto" w:after="120"/>
        <w:jc w:val="left"/>
      </w:pPr>
      <w:r>
        <w:rPr>
          <w:b/>
          <w:i w:val="0"/>
        </w:rPr>
        <w:t>RECORRENTE:</w:t>
      </w:r>
      <w:r>
        <w:rPr>
          <w:b w:val="0"/>
          <w:i w:val="0"/>
        </w:rPr>
        <w:t xml:space="preserve"> MARY RAIMUNDA SANTOS ALMEIDA</w:t>
        <w:br/>
      </w:r>
      <w:r>
        <w:rPr>
          <w:b/>
          <w:i w:val="0"/>
        </w:rPr>
        <w:t>RECORRIDO:</w:t>
      </w:r>
      <w:r>
        <w:rPr>
          <w:b w:val="0"/>
          <w:i w:val="0"/>
        </w:rPr>
        <w:t xml:space="preserve"> BANCO SANTANDER (BRASIL) S.A.</w:t>
        <w:br/>
      </w:r>
      <w:r>
        <w:rPr>
          <w:b/>
          <w:i w:val="0"/>
        </w:rPr>
        <w:t>PROCESSO DE ORIGEM:</w:t>
      </w:r>
      <w:r>
        <w:rPr>
          <w:b w:val="0"/>
          <w:i w:val="0"/>
        </w:rPr>
        <w:t xml:space="preserve"> 0166309-85.2026.8.05.0001 — 9ª VSJE do Consumidor, Salvador/BA</w:t>
      </w:r>
    </w:p>
    <w:p>
      <w:pPr>
        <w:spacing w:line="360" w:lineRule="auto" w:after="120"/>
        <w:jc w:val="left"/>
      </w:pPr>
      <w:r>
        <w:rPr>
          <w:b w:val="0"/>
          <w:i w:val="0"/>
        </w:rPr>
        <w:t>Colenda Turma,</w:t>
        <w:br/>
        <w:t>Eméritos Julgadores,</w:t>
      </w:r>
    </w:p>
    <w:p>
      <w:pPr>
        <w:keepNext/>
        <w:spacing w:line="360" w:lineRule="auto" w:after="160" w:before="240"/>
        <w:jc w:val="left"/>
        <w:pBdr>
          <w:bottom w:val="single" w:sz="8" w:space="1" w:color="1F3864"/>
        </w:pBdr>
      </w:pPr>
      <w:r>
        <w:rPr>
          <w:b/>
          <w:color w:val="1F3864"/>
        </w:rPr>
        <w:t>I — SÍNTESE DA DEMANDA E DA SENTENÇA RECORRIDA</w:t>
      </w:r>
    </w:p>
    <w:p>
      <w:pPr>
        <w:spacing w:line="360" w:lineRule="auto" w:after="120"/>
        <w:ind w:firstLine="708"/>
        <w:jc w:val="both"/>
      </w:pPr>
      <w:r>
        <w:rPr>
          <w:b w:val="0"/>
          <w:i w:val="0"/>
        </w:rPr>
        <w:t>A recorrente, idosa de 66 anos e beneficiária do INSS, ajuizou a presente ação declaratória de inexistência de relação jurídica cumulada com repetição de indébito em dobro e indenização por danos morais, por não reconhecer os empréstimos consignados nº 194931262 (averbado em 29/03/2020, parcela de R$ 233,80, 17 parcelas descontadas, totalizando R$ 3.974,60) e nº 205496249 (averbado em 11/08/2020, parcela de R$ 22,00, 36 parcelas descontadas, totalizando R$ 792,00), ambos descontados de seu benefício. Pediu a restituição em dobro de R$ 4.766,60 (R$ 9.533,20) e dano moral de R$ 40.000,00.</w:t>
      </w:r>
    </w:p>
    <w:p>
      <w:pPr>
        <w:spacing w:line="360" w:lineRule="auto" w:after="120"/>
        <w:ind w:firstLine="708"/>
        <w:jc w:val="both"/>
      </w:pPr>
      <w:r>
        <w:rPr>
          <w:b w:val="0"/>
          <w:i w:val="0"/>
        </w:rPr>
        <w:t>A sentença (Id. 207128241) julgou improcedentes os pedidos. Sem apreciar as preliminares (art. 488, CPC), assentou, em síntese, que (i) a inversão do ônus da prova "não implica automática procedência da pretensão"; (ii) o Banco Olé teria sido incorporado pelo Santander; (iii) o réu juntou "documentação suficiente", composta por CCBs, "registros da formalização eletrônica", "fotografias faciais" e comprovantes de TED para conta na Caixa Econômica Federal; (iv) as fotos "não são idênticas entre si", o que seria "compatível com a realização das contratações em momentos distintos"; (v) a falta de "relatório biométrico técnico" e as divergências cadastrais seriam "pontuais" e superadas pelo "conjunto"; (vi) o "troco" explicaria os valores, por se tratar de refinanciamentos; e (vii) o lapso entre 2020 e 2026 explicaria a alteração de telefone e e-mail. Concluiu pela "legitimidade dos negócios jurídicos", e, por consequência, pela ausência de ato ilícito e de dano moral.</w:t>
      </w:r>
    </w:p>
    <w:p>
      <w:pPr>
        <w:spacing w:line="360" w:lineRule="auto" w:after="120"/>
        <w:ind w:firstLine="708"/>
        <w:jc w:val="both"/>
      </w:pPr>
      <w:r>
        <w:rPr>
          <w:b/>
          <w:i w:val="0"/>
        </w:rPr>
        <w:t>A ratio decidendi é uma só:</w:t>
      </w:r>
      <w:r>
        <w:rPr>
          <w:b w:val="0"/>
          <w:i w:val="0"/>
        </w:rPr>
        <w:t xml:space="preserve"> a sentença deu por provada a contratação com base em TEDs creditados em conta bancária e em duas fotografias, tudo isoladamente tomado. Demonstra-se a seguir que nenhum desses elementos, nem o conjunto deles, comprova a manifestação de vontade da recorrente, e que o próprio recorrido reconheceu, em audiência, a lacuna que a sentença preencheu por presunção.</w:t>
      </w:r>
    </w:p>
    <w:p>
      <w:pPr>
        <w:keepNext/>
        <w:spacing w:line="360" w:lineRule="auto" w:after="160" w:before="240"/>
        <w:jc w:val="left"/>
        <w:pBdr>
          <w:bottom w:val="single" w:sz="8" w:space="1" w:color="1F3864"/>
        </w:pBdr>
      </w:pPr>
      <w:r>
        <w:rPr>
          <w:b/>
          <w:color w:val="1F3864"/>
        </w:rPr>
        <w:t>II — DA TEMPESTIVIDADE E DA ADMISSIBILIDADE</w:t>
      </w:r>
    </w:p>
    <w:p>
      <w:pPr>
        <w:spacing w:line="360" w:lineRule="auto" w:after="120"/>
        <w:ind w:firstLine="708"/>
        <w:jc w:val="both"/>
      </w:pPr>
      <w:r>
        <w:rPr>
          <w:b w:val="0"/>
          <w:i w:val="0"/>
        </w:rPr>
        <w:t>O recurso é próprio (art. 41, Lei 9.099/95) e tempestivo (art. 42, Lei 9.099/95), conforme exposto na petição de interposição. O preparo é dispensado em razão do pedido de gratuidade formulado e documentalmente instruído (Doc. 1), nos termos ali expostos.</w:t>
      </w:r>
    </w:p>
    <w:p>
      <w:pPr>
        <w:keepNext/>
        <w:spacing w:line="360" w:lineRule="auto" w:after="160" w:before="240"/>
        <w:jc w:val="left"/>
        <w:pBdr>
          <w:bottom w:val="single" w:sz="8" w:space="1" w:color="1F3864"/>
        </w:pBdr>
      </w:pPr>
      <w:r>
        <w:rPr>
          <w:b/>
          <w:color w:val="1F3864"/>
        </w:rPr>
        <w:t>III — DA DELIMITAÇÃO DO OBJETO DO RECURSO</w:t>
      </w:r>
    </w:p>
    <w:p>
      <w:pPr>
        <w:spacing w:line="360" w:lineRule="auto" w:after="120"/>
        <w:ind w:firstLine="708"/>
        <w:jc w:val="both"/>
      </w:pPr>
      <w:r>
        <w:rPr>
          <w:b w:val="0"/>
          <w:i w:val="0"/>
        </w:rPr>
        <w:t xml:space="preserve">Por se tratar de </w:t>
      </w:r>
      <w:r>
        <w:rPr>
          <w:b/>
          <w:i w:val="0"/>
        </w:rPr>
        <w:t>improcedência total</w:t>
      </w:r>
      <w:r>
        <w:rPr>
          <w:b w:val="0"/>
          <w:i w:val="0"/>
        </w:rPr>
        <w:t>, devolve-se à Turma a integralidade do mérito: (a) a prova da contratação, que sustenta a declaração de inexistência e a repetição em dobro; e (b) o dano moral, consequência necessária do primeiro capítulo. Impugnam-se, a seguir, individualmente, todos os fundamentos da sentença (art. 42, Lei 9.099/95; art. 1.010, II e III, CPC).</w:t>
      </w:r>
    </w:p>
    <w:p>
      <w:pPr>
        <w:keepNext/>
        <w:spacing w:line="360" w:lineRule="auto" w:after="160" w:before="240"/>
        <w:jc w:val="left"/>
        <w:pBdr>
          <w:bottom w:val="single" w:sz="8" w:space="1" w:color="1F3864"/>
        </w:pBdr>
      </w:pPr>
      <w:r>
        <w:rPr>
          <w:b/>
          <w:color w:val="1F3864"/>
        </w:rPr>
        <w:t>IV — DAS RAZÕES DE REFORMA</w:t>
      </w:r>
    </w:p>
    <w:p>
      <w:pPr>
        <w:keepNext/>
        <w:spacing w:line="360" w:lineRule="auto" w:after="120" w:before="160"/>
        <w:jc w:val="left"/>
      </w:pPr>
      <w:r>
        <w:rPr>
          <w:b/>
          <w:color w:val="1F3864"/>
        </w:rPr>
        <w:t>IV.1 — DO ERRO NA DISTRIBUIÇÃO DO ÔNUS DA PROVA</w:t>
      </w:r>
    </w:p>
    <w:p>
      <w:pPr>
        <w:spacing w:line="360" w:lineRule="auto" w:after="120"/>
        <w:ind w:firstLine="708"/>
        <w:jc w:val="both"/>
      </w:pPr>
      <w:r>
        <w:rPr>
          <w:b w:val="0"/>
          <w:i w:val="0"/>
        </w:rPr>
        <w:t>A sentença admitiu a aplicação do CDC e a distribuição dinâmica do ônus, mas afastou os efeitos da inversão ao fundamento de que ela "não implica automática procedência da pretensão". O raciocínio inverte a lógica da prova no caso.</w:t>
      </w:r>
    </w:p>
    <w:p>
      <w:pPr>
        <w:spacing w:line="360" w:lineRule="auto" w:after="120"/>
        <w:ind w:firstLine="708"/>
        <w:jc w:val="both"/>
      </w:pPr>
      <w:r>
        <w:rPr>
          <w:b w:val="0"/>
          <w:i w:val="0"/>
        </w:rPr>
        <w:t xml:space="preserve">Em primeiro lugar, a regularidade da contratação é </w:t>
      </w:r>
      <w:r>
        <w:rPr>
          <w:b/>
          <w:i w:val="0"/>
        </w:rPr>
        <w:t>fato impeditivo</w:t>
      </w:r>
      <w:r>
        <w:rPr>
          <w:b w:val="0"/>
          <w:i w:val="0"/>
        </w:rPr>
        <w:t xml:space="preserve"> do direito da autora, cuja prova incumbe ao réu (art. 373, II, CPC), com ou sem inversão. O recorrido sabe disso: a contestação afirma que "o réu comprova a regularidade da avença em cumprimento ao art. 373, II, do CPC" (Id. 204592257, Pág. 120). O ônus foi, portanto, assumido pelo próprio banco.</w:t>
      </w:r>
    </w:p>
    <w:p>
      <w:pPr>
        <w:spacing w:line="360" w:lineRule="auto" w:after="120"/>
        <w:ind w:firstLine="708"/>
        <w:jc w:val="both"/>
      </w:pPr>
      <w:r>
        <w:rPr>
          <w:b w:val="0"/>
          <w:i w:val="0"/>
        </w:rPr>
        <w:t xml:space="preserve">Em segundo lugar, a responsabilidade da instituição financeira por fraude em operação bancária é objetiva (art. 14, CDC; Súmula 479/STJ), e a recorrente, idosa, aposentada por incapacidade, é a parte hipossuficiente técnica e informacionalmente. Os registros que poderiam demonstrar quem contratou (log de assinatura eletrônica, IP, identificação do aparelho, hash, relatório de biometria com score e prova de vivacidade, trilha de aceite) estão sob o domínio exclusivo do banco (art. 6º, VIII, CDC; art. 373, § 1º, CPC). Exigir da autora a prova de que </w:t>
      </w:r>
      <w:r>
        <w:rPr>
          <w:b/>
          <w:i w:val="0"/>
        </w:rPr>
        <w:t>não</w:t>
      </w:r>
      <w:r>
        <w:rPr>
          <w:b w:val="0"/>
          <w:i w:val="0"/>
        </w:rPr>
        <w:t xml:space="preserve"> assinou é impor prova negativa e diabólica.</w:t>
      </w:r>
    </w:p>
    <w:p>
      <w:pPr>
        <w:spacing w:line="360" w:lineRule="auto" w:after="120"/>
        <w:ind w:firstLine="708"/>
        <w:jc w:val="both"/>
      </w:pPr>
      <w:r>
        <w:rPr>
          <w:b w:val="0"/>
          <w:i w:val="0"/>
        </w:rPr>
        <w:t>Em terceiro lugar, a verossimilhança estava presente: a autora nega a contratação; o extrato oficial do INSS (Id. 202478704) demonstra os descontos; e, como se verá, os documentos do próprio réu contêm divergências objetivas. A sentença exigiu da autora aquilo que só o réu podia produzir e, diante da lacuna, supriu a falta de prova do réu com presunções.</w:t>
      </w:r>
    </w:p>
    <w:p>
      <w:pPr>
        <w:spacing w:line="360" w:lineRule="auto" w:after="120"/>
        <w:ind w:firstLine="708"/>
        <w:jc w:val="both"/>
      </w:pPr>
      <w:r>
        <w:rPr>
          <w:b w:val="0"/>
          <w:i w:val="0"/>
        </w:rPr>
        <w:t xml:space="preserve">Ressalte-se, por fim, a contradição interna do procedimento: o recorrido pediu em audiência a expedição de ofício à Caixa Econômica Federal "para que informe sobre a titularidade da referida conta" e para comprovar "o recebimento do valor a título de saque" (ata, Id. 204767167, Pág. 166; contestação, Id. 204592257, Pág. 118). O Juízo indeferiu o pedido por considerá-lo "diligência desnecessária e protelatória" e declarou o feito "devidamente instruído" (Id. 205991731, Pág. 168). Ocorre que, na sentença, o crédito em conta da Caixa foi tratado como peça central da prova de autoria. </w:t>
      </w:r>
      <w:r>
        <w:rPr>
          <w:b/>
          <w:i w:val="0"/>
        </w:rPr>
        <w:t>O fato que o próprio réu reconheceu não ter provado (titularidade e recebimento) não pode ser dado como provado em seu favor.</w:t>
      </w:r>
    </w:p>
    <w:p>
      <w:pPr>
        <w:keepNext/>
        <w:spacing w:line="360" w:lineRule="auto" w:after="120" w:before="160"/>
        <w:jc w:val="left"/>
      </w:pPr>
      <w:r>
        <w:rPr>
          <w:b/>
          <w:color w:val="1F3864"/>
        </w:rPr>
        <w:t>IV.2 — DO ERRO NA VALORAÇÃO DA PROVA DO RÉU (CONSIGNADO) — IMPUGNAÇÃO ESPECÍFICA DOCUMENTO A DOCUMENTO</w:t>
      </w:r>
    </w:p>
    <w:p>
      <w:pPr>
        <w:spacing w:line="360" w:lineRule="auto" w:after="120"/>
        <w:ind w:firstLine="708"/>
        <w:jc w:val="both"/>
      </w:pPr>
      <w:r>
        <w:rPr>
          <w:b w:val="0"/>
          <w:i w:val="0"/>
        </w:rPr>
        <w:t>Diz a sentença que o réu juntou "documentação suficiente" e que as inconsistências seriam "pontuais". Examinados, um a um, os documentos juntados pelo próprio réu (Id. 204592258 e 204592259), vê-se que nenhum comprova autoria e que as divergências são numerosas, objetivas e convergentes. A matéria é reexame de prova documental já constante dos autos, integralmente devolvida à Turma (art. 1.013, §§ 1º e 2º, CPC).</w:t>
      </w:r>
    </w:p>
    <w:p>
      <w:pPr>
        <w:keepNext/>
        <w:spacing w:line="360" w:lineRule="auto" w:after="120" w:before="160"/>
        <w:jc w:val="left"/>
      </w:pPr>
      <w:r>
        <w:rPr>
          <w:b/>
          <w:color w:val="1F3864"/>
        </w:rPr>
        <w:t>IV.2.A — OS COMPROVANTES DE TED PROVAM TRANSFERÊNCIA, NÃO AUTORIA NEM RECEBIMENTO</w:t>
      </w:r>
    </w:p>
    <w:p>
      <w:pPr>
        <w:spacing w:line="360" w:lineRule="auto" w:after="120"/>
        <w:ind w:firstLine="708"/>
        <w:jc w:val="both"/>
      </w:pPr>
      <w:r>
        <w:rPr>
          <w:b w:val="0"/>
          <w:i w:val="0"/>
        </w:rPr>
        <w:t>O TED é ordem de pagamento entre instituições. Prova que o banco emitente determinou um crédito em determinada conta; não prova que quem figurou como contratante tenha manifestado vontade, nem que o valor tenha sido sacado ou utilizado por ela. A contestação afirma, sem qualquer extrato, que a conta "permaneceu sob a plena e contínua movimentação da parte autora" (Id. 204592257, Pág. 117). Mas o mesmo réu, instado a provar, pediu ao Juízo que um terceiro (a Caixa) informasse a titularidade e o recebimento. A confissão da necessidade da prova é a confissão de que ela não existe nos autos.</w:t>
      </w:r>
    </w:p>
    <w:p>
      <w:pPr>
        <w:spacing w:line="360" w:lineRule="auto" w:after="120"/>
        <w:ind w:firstLine="708"/>
        <w:jc w:val="both"/>
      </w:pPr>
      <w:r>
        <w:rPr>
          <w:b w:val="0"/>
          <w:i w:val="0"/>
        </w:rPr>
        <w:t>Há mais. Os dois comprovantes de TED não são homogêneos: o primeiro (Id. 204592258, Pág. 134) indica "Tipo Conta: CC", conta 64622; o segundo (Id. 204592259, Pág. 150) indica "Tipo Conta: PP", conta 13000064622. As CCBs, por sua vez, indicam a conta "00006462-2" com a opção "Crédito em CC/Poupança" e o campo "OP" em branco (Id. 204592258, Pág. 127; Id. 204592259, Pág. 135), sem identificar qual das modalidades foi contratada. Os documentos do réu não demonstram, portanto, sequer a natureza da conta de destino.</w:t>
      </w:r>
    </w:p>
    <w:p>
      <w:pPr>
        <w:spacing w:line="360" w:lineRule="auto" w:after="120"/>
        <w:ind w:firstLine="708"/>
        <w:jc w:val="both"/>
      </w:pPr>
      <w:r>
        <w:rPr>
          <w:b w:val="0"/>
          <w:i w:val="0"/>
        </w:rPr>
        <w:t xml:space="preserve">Os valores creditados, além disso, </w:t>
      </w:r>
      <w:r>
        <w:rPr>
          <w:b/>
          <w:i w:val="0"/>
        </w:rPr>
        <w:t>não coincidem com os valores "liberados" nos próprios resumos contratuais</w:t>
      </w:r>
      <w:r>
        <w:rPr>
          <w:b w:val="0"/>
          <w:i w:val="0"/>
        </w:rPr>
        <w:t>: R$ 1.404,43 (resumo) contra R$ 1.438,06 (TED), no contrato 194931262 (Id. 204592258, Pág. 129 e Pág. 134); e R$ 346,07 (resumo) contra R$ 348,76 (TED), no contrato 205496249 (Id. 204592259, Pág. 145 e Pág. 150). A sentença trata essa discrepância como irrelevante; é, ao contrário, mais um indício de que os documentos do réu não retratam fielmente uma única operação consentida.</w:t>
      </w:r>
    </w:p>
    <w:p>
      <w:pPr>
        <w:keepNext/>
        <w:spacing w:line="360" w:lineRule="auto" w:after="120" w:before="160"/>
        <w:jc w:val="left"/>
      </w:pPr>
      <w:r>
        <w:rPr>
          <w:b/>
          <w:color w:val="1F3864"/>
        </w:rPr>
        <w:t>IV.2.B — AS DUAS FOTOGRAFIAS NÃO SÃO PROVA DE BIOMETRIA, AUTORIA OU VIVACIDADE</w:t>
      </w:r>
    </w:p>
    <w:p>
      <w:pPr>
        <w:spacing w:line="360" w:lineRule="auto" w:after="120"/>
        <w:ind w:firstLine="708"/>
        <w:jc w:val="both"/>
      </w:pPr>
      <w:r>
        <w:rPr>
          <w:b w:val="0"/>
          <w:i w:val="0"/>
        </w:rPr>
        <w:t>A sentença valorou "fotografias faciais" como elemento de convicção. Há duas fotografias nos autos: uma, de pessoa em ambiente doméstico, anexada ao contrato 194931262 (Id. 204592258, Pág. 126), e outra, de pessoa segurando um documento de identidade, anexada ao contrato 205496249 (Id. 204592259, Pág. 139), reproduzida na contestação (Id. 204592257, Pág. 116). Em nenhum dos casos o réu juntou:</w:t>
      </w:r>
    </w:p>
    <w:p>
      <w:pPr>
        <w:spacing w:line="360" w:lineRule="auto" w:after="120"/>
        <w:ind w:left="708" w:hanging="340"/>
        <w:jc w:val="both"/>
      </w:pPr>
      <w:r>
        <w:rPr>
          <w:b w:val="0"/>
        </w:rPr>
        <w:t>– relatório de reconhecimento facial (SERPRO/DataValid, que a contestação diz ter sido utilizado) com índice de similaridade, parâmetro de aceitação e resultado;</w:t>
      </w:r>
    </w:p>
    <w:p>
      <w:pPr>
        <w:spacing w:line="360" w:lineRule="auto" w:after="120"/>
        <w:ind w:left="708" w:hanging="340"/>
        <w:jc w:val="both"/>
      </w:pPr>
      <w:r>
        <w:rPr>
          <w:b w:val="0"/>
        </w:rPr>
        <w:t>– prova de vivacidade (liveness) que demonstre captura em tempo real pelo titular do aparelho;</w:t>
      </w:r>
    </w:p>
    <w:p>
      <w:pPr>
        <w:spacing w:line="360" w:lineRule="auto" w:after="120"/>
        <w:ind w:left="708" w:hanging="340"/>
        <w:jc w:val="both"/>
      </w:pPr>
      <w:r>
        <w:rPr>
          <w:b w:val="0"/>
        </w:rPr>
        <w:t xml:space="preserve">– data, hora, IP, identificação do dispositivo e hash de integridade do arquivo que vinculem </w:t>
      </w:r>
      <w:r>
        <w:rPr>
          <w:b/>
        </w:rPr>
        <w:t>cada foto</w:t>
      </w:r>
      <w:r>
        <w:rPr>
          <w:b w:val="0"/>
        </w:rPr>
        <w:t xml:space="preserve"> ao ato de assinatura de </w:t>
      </w:r>
      <w:r>
        <w:rPr>
          <w:b/>
        </w:rPr>
        <w:t>cada CCB</w:t>
      </w:r>
      <w:r>
        <w:rPr>
          <w:b w:val="0"/>
        </w:rPr>
        <w:t>;</w:t>
      </w:r>
    </w:p>
    <w:p>
      <w:pPr>
        <w:spacing w:line="360" w:lineRule="auto" w:after="120"/>
        <w:ind w:left="708" w:hanging="340"/>
        <w:jc w:val="both"/>
      </w:pPr>
      <w:r>
        <w:rPr>
          <w:b w:val="0"/>
        </w:rPr>
        <w:t>– o "log de operações" que a contestação anuncia ("Conforme se depreende do log abaixo", Id. 204592257, Pág. 119), mas que não foi anexado.</w:t>
      </w:r>
    </w:p>
    <w:p>
      <w:pPr>
        <w:spacing w:line="360" w:lineRule="auto" w:after="120"/>
        <w:ind w:firstLine="708"/>
        <w:jc w:val="both"/>
      </w:pPr>
      <w:r>
        <w:rPr>
          <w:b w:val="0"/>
          <w:i w:val="0"/>
        </w:rPr>
        <w:t xml:space="preserve">A contestação descreve minuciosamente um sistema que utiliza "índice de similaridade" facial, registra "as coordenadas geográficas" e produz "um log de operações". Se o sistema existe e funcionou como descrito, os registros existem e estão em poder do réu. </w:t>
      </w:r>
      <w:r>
        <w:rPr>
          <w:b/>
          <w:i w:val="0"/>
        </w:rPr>
        <w:t>Sua não juntada, sob o ônus que o próprio réu assumiu, só pode militar contra ele.</w:t>
      </w:r>
    </w:p>
    <w:p>
      <w:pPr>
        <w:spacing w:line="360" w:lineRule="auto" w:after="120"/>
        <w:ind w:firstLine="708"/>
        <w:jc w:val="both"/>
      </w:pPr>
      <w:r>
        <w:rPr>
          <w:b w:val="0"/>
          <w:i w:val="0"/>
        </w:rPr>
        <w:t xml:space="preserve">A sentença observa que as fotos "não são idênticas entre si" e vê nisso compatibilidade com contratações em momentos distintos. O argumento é um non sequitur: a diferença entre duas imagens nada diz sobre </w:t>
      </w:r>
      <w:r>
        <w:rPr>
          <w:b/>
          <w:i w:val="0"/>
        </w:rPr>
        <w:t>quem</w:t>
      </w:r>
      <w:r>
        <w:rPr>
          <w:b w:val="0"/>
          <w:i w:val="0"/>
        </w:rPr>
        <w:t xml:space="preserve"> as produziu nem sobre </w:t>
      </w:r>
      <w:r>
        <w:rPr>
          <w:b/>
          <w:i w:val="0"/>
        </w:rPr>
        <w:t>quando</w:t>
      </w:r>
      <w:r>
        <w:rPr>
          <w:b w:val="0"/>
          <w:i w:val="0"/>
        </w:rPr>
        <w:t xml:space="preserve"> foram capturadas em relação a cada assinatura. Uma imagem de rosto, isolada, sem metadados e sem prova de vivacidade, prova no máximo que um rosto foi fotografado, jamais que a titular do CPF solicitou o crédito. A fotografia segurando o RG, em especial, exibe um documento de identidade que o réu já possuía em anexo, e nada acrescenta quanto à vontade de contratar.</w:t>
      </w:r>
    </w:p>
    <w:p>
      <w:pPr>
        <w:keepNext/>
        <w:spacing w:line="360" w:lineRule="auto" w:after="120" w:before="160"/>
        <w:jc w:val="left"/>
      </w:pPr>
      <w:r>
        <w:rPr>
          <w:b/>
          <w:color w:val="1F3864"/>
        </w:rPr>
        <w:t>IV.2.C — A GEOLOCALIZAÇÃO ALEGADA É INCOMPATÍVEL COM A RESIDÊNCIA DA RECORRENTE</w:t>
      </w:r>
    </w:p>
    <w:p>
      <w:pPr>
        <w:spacing w:line="360" w:lineRule="auto" w:after="120"/>
        <w:ind w:firstLine="708"/>
        <w:jc w:val="both"/>
      </w:pPr>
      <w:r>
        <w:rPr>
          <w:b w:val="0"/>
          <w:i w:val="0"/>
        </w:rPr>
        <w:t>A contestação afirma que "não foi detectado nenhum tipo de anomalia" e que o aparelho indicou as coordenadas Lat -16.462855 / Lon -54.629738 (Id. 204592257, Pág. 119). A recorrente reside em Salvador/BA, comprovadamente: a procuração assinada digitalmente via ZapSign registra localização aproximada Lat -12.891842 / Lon -38.396866 (Id. 202478700), região de Salvador. As coordenadas apontadas pelo réu situam-se no interior de Mato Grosso, a mais de 1.500 km de distância [VERIFICAR ANTES DE PROTOCOLAR: conferir a localização/distância das coordenadas em mapa]. O próprio réu afirma que o sistema compara o endereço cadastrado com as coordenadas, "bloqueando, assim, qualquer tipo de transação suspeita ou incomum". Se o cruzamento tivesse sido feito, a operação teria sido bloqueada. O dado que o réu apresenta como prova de higidez é, ao contrário, indício de contratação feita fora do local de residência da titular, e o log que o comprovaria sequer foi juntado.</w:t>
      </w:r>
    </w:p>
    <w:p>
      <w:pPr>
        <w:keepNext/>
        <w:spacing w:line="360" w:lineRule="auto" w:after="120" w:before="160"/>
        <w:jc w:val="left"/>
      </w:pPr>
      <w:r>
        <w:rPr>
          <w:b/>
          <w:color w:val="1F3864"/>
        </w:rPr>
        <w:t>IV.2.D — OS DADOS CADASTRAIS DAS CCBS NÃO SÃO OS DA RECORRENTE</w:t>
      </w:r>
    </w:p>
    <w:p>
      <w:pPr>
        <w:spacing w:line="360" w:lineRule="auto" w:after="120"/>
        <w:ind w:firstLine="708"/>
        <w:jc w:val="both"/>
      </w:pPr>
      <w:r>
        <w:rPr>
          <w:b w:val="0"/>
          <w:i w:val="0"/>
        </w:rPr>
        <w:t xml:space="preserve">A sentença atribui a "alteração, ao longo dos anos" a divergência de telefone e e-mail. Mas os documentos do réu são de 2020, e a divergência é </w:t>
      </w:r>
      <w:r>
        <w:rPr>
          <w:b/>
          <w:i w:val="0"/>
        </w:rPr>
        <w:t>contemporânea à contratação</w:t>
      </w:r>
      <w:r>
        <w:rPr>
          <w:b w:val="0"/>
          <w:i w:val="0"/>
        </w:rPr>
        <w:t>, não superveniente: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247"/>
            <w:shd w:val="clear" w:fill="D9E2F3"/>
          </w:tcPr>
          <w:p>
            <w:pPr>
              <w:spacing w:line="240" w:lineRule="auto" w:after="40"/>
            </w:pPr>
            <w:r/>
            <w:r>
              <w:rPr>
                <w:b/>
                <w:sz w:val="19"/>
              </w:rPr>
              <w:t>Dado</w:t>
            </w:r>
          </w:p>
        </w:tc>
        <w:tc>
          <w:tcPr>
            <w:tcW w:type="dxa" w:w="2438"/>
            <w:shd w:val="clear" w:fill="D9E2F3"/>
          </w:tcPr>
          <w:p>
            <w:pPr>
              <w:spacing w:line="240" w:lineRule="auto" w:after="40"/>
            </w:pPr>
            <w:r/>
            <w:r>
              <w:rPr>
                <w:b/>
                <w:sz w:val="19"/>
              </w:rPr>
              <w:t>CCB 194931262 (25/03/2020)</w:t>
            </w:r>
          </w:p>
        </w:tc>
        <w:tc>
          <w:tcPr>
            <w:tcW w:type="dxa" w:w="2608"/>
            <w:shd w:val="clear" w:fill="D9E2F3"/>
          </w:tcPr>
          <w:p>
            <w:pPr>
              <w:spacing w:line="240" w:lineRule="auto" w:after="40"/>
            </w:pPr>
            <w:r/>
            <w:r>
              <w:rPr>
                <w:b/>
                <w:sz w:val="19"/>
              </w:rPr>
              <w:t>CCB 205496249 (11/08/2020)</w:t>
            </w:r>
          </w:p>
        </w:tc>
        <w:tc>
          <w:tcPr>
            <w:tcW w:type="dxa" w:w="2438"/>
            <w:shd w:val="clear" w:fill="D9E2F3"/>
          </w:tcPr>
          <w:p>
            <w:pPr>
              <w:spacing w:line="240" w:lineRule="auto" w:after="40"/>
            </w:pPr>
            <w:r/>
            <w:r>
              <w:rPr>
                <w:b/>
                <w:sz w:val="19"/>
              </w:rPr>
              <w:t>Dado constante dos autos em nome da recorrente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E-mail</w:t>
            </w:r>
          </w:p>
        </w:tc>
        <w:tc>
          <w:tcPr>
            <w:tcW w:type="dxa" w:w="2438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gidia.premum@hotmail.com (Id. 204592258, Pág. 129)</w:t>
            </w:r>
          </w:p>
        </w:tc>
        <w:tc>
          <w:tcPr>
            <w:tcW w:type="dxa" w:w="2608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admandreia12@hotmail.com (Id. 204592259, Pág. 145)</w:t>
            </w:r>
          </w:p>
        </w:tc>
        <w:tc>
          <w:tcPr>
            <w:tcW w:type="dxa" w:w="2438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A inicial informa que a autora não possui e-mail; a procuração ZapSign registra mairy1960@hotmail.com (Id. 202478700)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Telefone</w:t>
            </w:r>
          </w:p>
        </w:tc>
        <w:tc>
          <w:tcPr>
            <w:tcW w:type="dxa" w:w="2438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(71) 99414-6449</w:t>
            </w:r>
          </w:p>
        </w:tc>
        <w:tc>
          <w:tcPr>
            <w:tcW w:type="dxa" w:w="2608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(71) 99414-6449 (idêntico)</w:t>
            </w:r>
          </w:p>
        </w:tc>
        <w:tc>
          <w:tcPr>
            <w:tcW w:type="dxa" w:w="2438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(71) 99615-3135 (ZapSign, Id. 202478700)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Endereço</w:t>
            </w:r>
          </w:p>
        </w:tc>
        <w:tc>
          <w:tcPr>
            <w:tcW w:type="dxa" w:w="2438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Rua 32, Quadra E, nº 32, CEP 41342-050 (Id. 204592258, Pág. 127)</w:t>
            </w:r>
          </w:p>
        </w:tc>
        <w:tc>
          <w:tcPr>
            <w:tcW w:type="dxa" w:w="2608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Rua Engenheiro Eunápio Peltier de Queiroz, 13, CEP 41342-035 (Id. 204592259, Pág. 135)</w:t>
            </w:r>
          </w:p>
        </w:tc>
        <w:tc>
          <w:tcPr>
            <w:tcW w:type="dxa" w:w="2438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Rua Engenheiro Eunápio Peltier de Queiroz, 13 (inicial)</w:t>
            </w:r>
          </w:p>
        </w:tc>
      </w:tr>
    </w:tbl>
    <w:p>
      <w:pPr>
        <w:spacing w:after="80"/>
      </w:pPr>
    </w:p>
    <w:p>
      <w:pPr>
        <w:spacing w:line="360" w:lineRule="auto" w:after="120"/>
        <w:ind w:firstLine="708"/>
        <w:jc w:val="both"/>
      </w:pPr>
      <w:r>
        <w:rPr>
          <w:b w:val="0"/>
          <w:i w:val="0"/>
        </w:rPr>
        <w:t xml:space="preserve">Os dois contratos, firmados com quase cinco meses de intervalo, utilizam </w:t>
      </w:r>
      <w:r>
        <w:rPr>
          <w:b/>
          <w:i w:val="0"/>
        </w:rPr>
        <w:t>o mesmo telefone, diverso do registrado na procuração e cuja titularidade o réu não comprovou</w:t>
      </w:r>
      <w:r>
        <w:rPr>
          <w:b w:val="0"/>
          <w:i w:val="0"/>
        </w:rPr>
        <w:t xml:space="preserve">, e e-mails distintos, sem vínculo comprovado com a recorrente. Na primeira CCB figura endereço </w:t>
      </w:r>
      <w:r>
        <w:rPr>
          <w:b/>
          <w:i w:val="0"/>
        </w:rPr>
        <w:t>diverso</w:t>
      </w:r>
      <w:r>
        <w:rPr>
          <w:b w:val="0"/>
          <w:i w:val="0"/>
        </w:rPr>
        <w:t xml:space="preserve"> do da autora, e a sentença não o enfrentou. Na segunda, o endereço coincide com o real, dado de fácil obtenção por terceiros, que por si não comprova autoria. Telefone e e-mail são, justamente, os canais por onde transitam o aceite, o SMS e o link de assinatura. Se o réu não prova que pertencem à titular, não há como supor que ela tenha recebido ou aceitado qualquer proposta. Não se trata de divergência "pontual", mas de ausência de qualquer vínculo comprovado entre os canais de contratação e a recorrente.</w:t>
      </w:r>
    </w:p>
    <w:p>
      <w:pPr>
        <w:keepNext/>
        <w:spacing w:line="360" w:lineRule="auto" w:after="120" w:before="160"/>
        <w:jc w:val="left"/>
      </w:pPr>
      <w:r>
        <w:rPr>
          <w:b/>
          <w:color w:val="1F3864"/>
        </w:rPr>
        <w:t>IV.2.E — O "TROCO" NÃO EXPLICA OS NÚMEROS; OS VALORES NÃO FECHAM</w:t>
      </w:r>
    </w:p>
    <w:p>
      <w:pPr>
        <w:spacing w:line="360" w:lineRule="auto" w:after="120"/>
        <w:ind w:firstLine="708"/>
        <w:jc w:val="both"/>
      </w:pPr>
      <w:r>
        <w:rPr>
          <w:b w:val="0"/>
          <w:i w:val="0"/>
        </w:rPr>
        <w:t>A sentença afirma que "inexiste incompatibilidade" entre o valor nominal das operações e o que foi creditado, porque parte do crédito teria liquidado saldos anteriores (R$ 8.647,53 e R$ 619,35). A aritmética dos autos não confirma a premissa: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252"/>
            <w:shd w:val="clear" w:fill="D9E2F3"/>
          </w:tcPr>
          <w:p>
            <w:pPr>
              <w:spacing w:line="240" w:lineRule="auto" w:after="40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2381"/>
            <w:shd w:val="clear" w:fill="D9E2F3"/>
          </w:tcPr>
          <w:p>
            <w:pPr>
              <w:spacing w:line="240" w:lineRule="auto" w:after="40"/>
            </w:pPr>
            <w:r/>
            <w:r>
              <w:rPr>
                <w:b/>
                <w:sz w:val="19"/>
              </w:rPr>
              <w:t>Contrato 194931262</w:t>
            </w:r>
          </w:p>
        </w:tc>
        <w:tc>
          <w:tcPr>
            <w:tcW w:type="dxa" w:w="2381"/>
            <w:shd w:val="clear" w:fill="D9E2F3"/>
          </w:tcPr>
          <w:p>
            <w:pPr>
              <w:spacing w:line="240" w:lineRule="auto" w:after="40"/>
            </w:pPr>
            <w:r/>
            <w:r>
              <w:rPr>
                <w:b/>
                <w:sz w:val="19"/>
              </w:rPr>
              <w:t>Contrato 205496249</w:t>
            </w:r>
          </w:p>
        </w:tc>
      </w:tr>
      <w:tr>
        <w:tc>
          <w:tcPr>
            <w:tcW w:type="dxa" w:w="4252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Valor refinanciado/solicitado (resumo da CCB)</w:t>
            </w:r>
          </w:p>
        </w:tc>
        <w:tc>
          <w:tcPr>
            <w:tcW w:type="dxa" w:w="2381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R$ 10.025,24</w:t>
            </w:r>
          </w:p>
        </w:tc>
        <w:tc>
          <w:tcPr>
            <w:tcW w:type="dxa" w:w="2381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R$ 964,74</w:t>
            </w:r>
          </w:p>
        </w:tc>
      </w:tr>
      <w:tr>
        <w:tc>
          <w:tcPr>
            <w:tcW w:type="dxa" w:w="4252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Valor registrado no INSS como emprestado (Id. 202478704)</w:t>
            </w:r>
          </w:p>
        </w:tc>
        <w:tc>
          <w:tcPr>
            <w:tcW w:type="dxa" w:w="2381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R$ 10.023,28</w:t>
            </w:r>
          </w:p>
        </w:tc>
        <w:tc>
          <w:tcPr>
            <w:tcW w:type="dxa" w:w="2381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R$ 964,74</w:t>
            </w:r>
          </w:p>
        </w:tc>
      </w:tr>
      <w:tr>
        <w:tc>
          <w:tcPr>
            <w:tcW w:type="dxa" w:w="4252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Saldo devedor (resumo)</w:t>
            </w:r>
          </w:p>
        </w:tc>
        <w:tc>
          <w:tcPr>
            <w:tcW w:type="dxa" w:w="2381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R$ 8.620,81</w:t>
            </w:r>
          </w:p>
        </w:tc>
        <w:tc>
          <w:tcPr>
            <w:tcW w:type="dxa" w:w="2381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R$ 618,67</w:t>
            </w:r>
          </w:p>
        </w:tc>
      </w:tr>
      <w:tr>
        <w:tc>
          <w:tcPr>
            <w:tcW w:type="dxa" w:w="4252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Valor "liberado" (resumo)</w:t>
            </w:r>
          </w:p>
        </w:tc>
        <w:tc>
          <w:tcPr>
            <w:tcW w:type="dxa" w:w="2381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R$ 1.404,43</w:t>
            </w:r>
          </w:p>
        </w:tc>
        <w:tc>
          <w:tcPr>
            <w:tcW w:type="dxa" w:w="2381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R$ 346,07</w:t>
            </w:r>
          </w:p>
        </w:tc>
      </w:tr>
      <w:tr>
        <w:tc>
          <w:tcPr>
            <w:tcW w:type="dxa" w:w="4252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TED efetivo (comprovante)</w:t>
            </w:r>
          </w:p>
        </w:tc>
        <w:tc>
          <w:tcPr>
            <w:tcW w:type="dxa" w:w="2381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R$ 1.438,06</w:t>
            </w:r>
          </w:p>
        </w:tc>
        <w:tc>
          <w:tcPr>
            <w:tcW w:type="dxa" w:w="2381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R$ 348,76</w:t>
            </w:r>
          </w:p>
        </w:tc>
      </w:tr>
      <w:tr>
        <w:tc>
          <w:tcPr>
            <w:tcW w:type="dxa" w:w="4252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Liquidação alegada na contestação/sentença</w:t>
            </w:r>
          </w:p>
        </w:tc>
        <w:tc>
          <w:tcPr>
            <w:tcW w:type="dxa" w:w="2381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R$ 8.647,53</w:t>
            </w:r>
          </w:p>
        </w:tc>
        <w:tc>
          <w:tcPr>
            <w:tcW w:type="dxa" w:w="2381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R$ 619,35</w:t>
            </w:r>
          </w:p>
        </w:tc>
      </w:tr>
      <w:tr>
        <w:tc>
          <w:tcPr>
            <w:tcW w:type="dxa" w:w="4252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TED + liquidação alegada</w:t>
            </w:r>
          </w:p>
        </w:tc>
        <w:tc>
          <w:tcPr>
            <w:tcW w:type="dxa" w:w="2381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R$ 10.085,59</w:t>
            </w:r>
          </w:p>
        </w:tc>
        <w:tc>
          <w:tcPr>
            <w:tcW w:type="dxa" w:w="2381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R$ 968,11</w:t>
            </w:r>
          </w:p>
        </w:tc>
      </w:tr>
      <w:tr>
        <w:tc>
          <w:tcPr>
            <w:tcW w:type="dxa" w:w="4252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Diferença para o valor refinanciado</w:t>
            </w:r>
          </w:p>
        </w:tc>
        <w:tc>
          <w:tcPr>
            <w:tcW w:type="dxa" w:w="2381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+ R$ 60,35</w:t>
            </w:r>
          </w:p>
        </w:tc>
        <w:tc>
          <w:tcPr>
            <w:tcW w:type="dxa" w:w="2381"/>
          </w:tcPr>
          <w:p>
            <w:pPr>
              <w:spacing w:line="240" w:lineRule="auto" w:after="40"/>
            </w:pPr>
            <w:r/>
            <w:r>
              <w:rPr>
                <w:b w:val="0"/>
                <w:sz w:val="19"/>
              </w:rPr>
              <w:t>+ R$ 3,37</w:t>
            </w:r>
          </w:p>
        </w:tc>
      </w:tr>
    </w:tbl>
    <w:p>
      <w:pPr>
        <w:spacing w:after="80"/>
      </w:pPr>
    </w:p>
    <w:p>
      <w:pPr>
        <w:spacing w:line="360" w:lineRule="auto" w:after="120"/>
        <w:ind w:firstLine="708"/>
        <w:jc w:val="both"/>
      </w:pPr>
      <w:r>
        <w:rPr>
          <w:b w:val="0"/>
          <w:i w:val="0"/>
        </w:rPr>
        <w:t xml:space="preserve">As cifras do réu somam, em cada contrato, mais do que o valor que ele próprio diz ter refinanciado. Além disso, </w:t>
      </w:r>
      <w:r>
        <w:rPr>
          <w:b/>
          <w:i w:val="0"/>
        </w:rPr>
        <w:t>não há nos autos nenhum comprovante de liquidação dos contratos anteriores</w:t>
      </w:r>
      <w:r>
        <w:rPr>
          <w:b w:val="0"/>
          <w:i w:val="0"/>
        </w:rPr>
        <w:t xml:space="preserve"> (os extratos anexados referem-se aos próprios contratos impugnados). O contrato anterior indicado para o contrato 205496249 (nº 867842919-5) </w:t>
      </w:r>
      <w:r>
        <w:rPr>
          <w:b/>
          <w:i w:val="0"/>
        </w:rPr>
        <w:t>não consta</w:t>
      </w:r>
      <w:r>
        <w:rPr>
          <w:b w:val="0"/>
          <w:i w:val="0"/>
        </w:rPr>
        <w:t xml:space="preserve"> do demonstrativo de empréstimos do INSS de 15/07/2020, juntado pelo próprio réu (Id. 204592259, Pág. 142), que lista os empréstimos ativos e suspensos dos dois benefícios da recorrente, que em princípio deveria constar, por estar ativo menos de um mês antes do suposto refinanciamento de 11/08/2020. Quem alega "troco" deve provar a quitação do contrato velho; o réu não o fez.</w:t>
      </w:r>
    </w:p>
    <w:p>
      <w:pPr>
        <w:keepNext/>
        <w:spacing w:line="360" w:lineRule="auto" w:after="120" w:before="160"/>
        <w:jc w:val="left"/>
      </w:pPr>
      <w:r>
        <w:rPr>
          <w:b/>
          <w:color w:val="1F3864"/>
        </w:rPr>
        <w:t>IV.2.F — A CONSULTA AOS DADOS DO INSS ANTECEDEU A AUTORIZAÇÃO</w:t>
      </w:r>
    </w:p>
    <w:p>
      <w:pPr>
        <w:spacing w:line="360" w:lineRule="auto" w:after="120"/>
        <w:ind w:firstLine="708"/>
        <w:jc w:val="both"/>
      </w:pPr>
      <w:r>
        <w:rPr>
          <w:b w:val="0"/>
          <w:i w:val="0"/>
        </w:rPr>
        <w:t xml:space="preserve">O réu junta, ao contrato 205496249, dois "Termos de Autorização" para consulta à Dataprev datados de 22/07/2020 (14h28) e 23/07/2020 (09h01) (Id. 204592259, Págs. 143-144), e um "Demonstrativo de Empréstimos Consignados" dos dois benefícios da recorrente emitido em </w:t>
      </w:r>
      <w:r>
        <w:rPr>
          <w:b/>
          <w:i w:val="0"/>
        </w:rPr>
        <w:t>15/07/2020</w:t>
      </w:r>
      <w:r>
        <w:rPr>
          <w:b w:val="0"/>
          <w:i w:val="0"/>
        </w:rPr>
        <w:t xml:space="preserve"> (Id. 204592259, Pág. 142). Ou seja, os dados previdenciários da recorrente foram consultados </w:t>
      </w:r>
      <w:r>
        <w:rPr>
          <w:b/>
          <w:i w:val="0"/>
        </w:rPr>
        <w:t>uma semana antes</w:t>
      </w:r>
      <w:r>
        <w:rPr>
          <w:b w:val="0"/>
          <w:i w:val="0"/>
        </w:rPr>
        <w:t xml:space="preserve"> da autorização que se diz dada. O rodapé do demonstrativo indica ainda endereço eletrônico alheio ao portal oficial do INSS (IP numérico, diretório "infraprev"). Não foi juntado, por fim, termo de autorização referente ao primeiro contrato (março/2020). São indícios de que o crédito foi originado e processado à margem da vontade da titular, o que o conjunto probatório do réu não explica.</w:t>
      </w:r>
    </w:p>
    <w:p>
      <w:pPr>
        <w:keepNext/>
        <w:spacing w:line="360" w:lineRule="auto" w:after="120" w:before="160"/>
        <w:jc w:val="left"/>
      </w:pPr>
      <w:r>
        <w:rPr>
          <w:b/>
          <w:color w:val="1F3864"/>
        </w:rPr>
        <w:t>IV.2.G — O "CONJUNTO" NÃO SUPRE A AUSÊNCIA DE PROVA DE VONTADE</w:t>
      </w:r>
    </w:p>
    <w:p>
      <w:pPr>
        <w:spacing w:line="360" w:lineRule="auto" w:after="120"/>
        <w:ind w:firstLine="708"/>
        <w:jc w:val="both"/>
      </w:pPr>
      <w:r>
        <w:rPr>
          <w:b w:val="0"/>
          <w:i w:val="0"/>
        </w:rPr>
        <w:t>A sentença conclui que, "analisados os elementos probatórios em seu conjunto, e não de maneira fragmentada", estaria provada a regularidade. Mas conjunto é soma de elementos aptos a provar o fato; somar elementos inaptos não os torna aptos. CCBs preenchidas e documentos pessoais da autora (que, segundo a inicial, foram apropriados indevidamente) provam apenas que alguém tinha os dados da recorrente. Fotografias sem metadados, TEDs sem prova de recebimento, log não juntado, geolocalização contraditória, canais de contato alheios, contas e valores que não fecham, liquidação não comprovada e consulta anterior à autorização: o resultado é um somatório de lacunas, e não uma prova robusta. A assinatura eletrônica simples exige aceitação efetiva das partes (MP 2.200-2/2001, art. 10, § 2º; Lei 14.063/2020), e o réu não produziu a trilha que demonstraria o aceite.</w:t>
      </w:r>
    </w:p>
    <w:p>
      <w:pPr>
        <w:keepNext/>
        <w:spacing w:line="360" w:lineRule="auto" w:after="120" w:before="160"/>
        <w:jc w:val="left"/>
      </w:pPr>
      <w:r>
        <w:rPr>
          <w:b/>
          <w:color w:val="1F3864"/>
        </w:rPr>
        <w:t>IV.3 — DA IMPUGNAÇÃO GENÉRICA E DO TEMPO DECORRIDO</w:t>
      </w:r>
    </w:p>
    <w:p>
      <w:pPr>
        <w:spacing w:line="360" w:lineRule="auto" w:after="120"/>
        <w:ind w:firstLine="708"/>
        <w:jc w:val="both"/>
      </w:pPr>
      <w:r>
        <w:rPr>
          <w:b w:val="0"/>
          <w:i w:val="0"/>
        </w:rPr>
        <w:t>A sentença chama de "negativa genérica de contratação" a defesa da autora. Não é o caso: a recorrente impugnou a contestação e os documentos (art. 437, CPC), apontando a ausência de log e de relatório biométrico, a divergência de telefone e e-mail, a geolocalização e a divergência de valores (Id. 204691830). Ainda que se entendesse insuficiente, os pontos acima constituem reexame de prova documental e de matéria de direito, devolvidos em profundidade à Turma (art. 1.013, §§ 1º e 2º, CPC), e a autora não poderia produzir prova que o rito veda (art. 35, IV, Lei 9.099/95) nem prova sobre o que está na posse exclusiva do réu.</w:t>
      </w:r>
    </w:p>
    <w:p>
      <w:pPr>
        <w:spacing w:line="360" w:lineRule="auto" w:after="120"/>
        <w:ind w:firstLine="708"/>
        <w:jc w:val="both"/>
      </w:pPr>
      <w:r>
        <w:rPr>
          <w:b w:val="0"/>
          <w:i w:val="0"/>
        </w:rPr>
        <w:t>Quanto ao lapso entre 2020 e 2026, a nulidade absoluta de negócio jurídico não convalesce pelo decurso do tempo (art. 169, CC). A recorrente é idosa e apenas tomou conhecimento dos descontos ao consultar o Meu INSS, com auxílio de terceiros (inicial). Não há dever legal de acompanhar mensalmente cada rubrica do benefício, e o silêncio de quem desconhece o fato não é anuência nem supressio (que exige inércia voluntária e ciente; art. 422, CC). Ademais, os descontos incidiram sobre verba de natureza alimentar de idosa, aposentada por incapacidade.</w:t>
      </w:r>
    </w:p>
    <w:p>
      <w:pPr>
        <w:keepNext/>
        <w:spacing w:line="360" w:lineRule="auto" w:after="120" w:before="160"/>
        <w:jc w:val="left"/>
      </w:pPr>
      <w:r>
        <w:rPr>
          <w:b/>
          <w:color w:val="1F3864"/>
        </w:rPr>
        <w:t>IV.4 — DAS PRELIMINARES E PREJUDICIAL NÃO APRECIADAS (ART. 1.013, § 2º, CPC)</w:t>
      </w:r>
    </w:p>
    <w:p>
      <w:pPr>
        <w:spacing w:line="360" w:lineRule="auto" w:after="120"/>
        <w:ind w:firstLine="708"/>
        <w:jc w:val="both"/>
      </w:pPr>
      <w:r>
        <w:rPr>
          <w:b w:val="0"/>
          <w:i w:val="0"/>
        </w:rPr>
        <w:t>A sentença deixou de apreciar as preliminares da contestação (art. 488, CPC). Caso a Turma as aprecie, mantêm-se as razões da impugnação (Id. 204691830, itens 8.1 a 8.8), resumidas: (i) o interesse de agir decorre da pretensão resistida, e a prévia via administrativa não é condição da ação (art. 5º, XXXV, CF), tendo o réu contestado o mérito; (ii) o extrato oficial do INSS (Id. 202478704) basta à causa de pedir, sendo o extrato bancário matéria de prova; (iii) a conexão foi alegada sem identificar processo, partes ou objeto; (iv) a contratação é eletrônica, sem assinatura manuscrita, o que torna descabida a alegada perícia grafotécnica; (v) a liquidação dos contratos não afasta o interesse, pois pede-se a repetição do já descontado; e (vi) a pretensão não está prescrita, por tratar-se de nulidade por ausência de manifestação de vontade, com descontos sucessivos (a impugnação invocou o EREsp 1.280.825/RJ [VERIFICAR ANTES DE PROTOCOLAR]).</w:t>
      </w:r>
    </w:p>
    <w:p>
      <w:pPr>
        <w:keepNext/>
        <w:spacing w:line="360" w:lineRule="auto" w:after="120" w:before="160"/>
        <w:jc w:val="left"/>
      </w:pPr>
      <w:r>
        <w:rPr>
          <w:b/>
          <w:color w:val="1F3864"/>
        </w:rPr>
        <w:t>IV.5 — DA RESPONSABILIDADE DO RECORRIDO</w:t>
      </w:r>
    </w:p>
    <w:p>
      <w:pPr>
        <w:spacing w:line="360" w:lineRule="auto" w:after="120"/>
        <w:ind w:firstLine="708"/>
        <w:jc w:val="both"/>
      </w:pPr>
      <w:r>
        <w:rPr>
          <w:b w:val="0"/>
          <w:i w:val="0"/>
        </w:rPr>
        <w:t>A sentença assentou que o Banco Olé foi incorporado pelo recorrido. Aceita essa premissa, o recorrido, como sucessor, responde por todo o passivo e por todas as obrigações do Banco Olé, inclusive pelos danos decorrentes de contratação não consentida (arts. 14 e 17, CDC; Súmula 479/STJ; art. 1.116, CC [VERIFICAR ANTES DE PROTOCOLAR]). Nada mais precisa ser discutido nesse ponto para o julgamento do recurso: a legitimidade passiva do recorrido foi reconhecida pela própria sentença, e os fatos aqui impugnados são todos imputáveis à instituição cujo passivo o recorrido assumiu.</w:t>
      </w:r>
    </w:p>
    <w:p>
      <w:pPr>
        <w:keepNext/>
        <w:spacing w:line="360" w:lineRule="auto" w:after="120" w:before="160"/>
        <w:jc w:val="left"/>
      </w:pPr>
      <w:r>
        <w:rPr>
          <w:b/>
          <w:color w:val="1F3864"/>
        </w:rPr>
        <w:t>IV.6 — DO DANO MORAL, DA REPETIÇÃO EM DOBRO E DOS CONSECTÁRIOS</w:t>
      </w:r>
    </w:p>
    <w:p>
      <w:pPr>
        <w:spacing w:line="360" w:lineRule="auto" w:after="120"/>
        <w:ind w:firstLine="708"/>
        <w:jc w:val="both"/>
      </w:pPr>
      <w:r>
        <w:rPr>
          <w:b w:val="0"/>
          <w:i w:val="0"/>
        </w:rPr>
        <w:t>Reformada a sentença quanto à contratação, o dano moral é consequência necessária: a sentença o negou unicamente porque considerou os descontos "exercício regular de direito". Afastada essa premissa, resta o ilícito, e com ele o dever de reparar (art. 14, CDC; Súmula 479/STJ).</w:t>
      </w:r>
    </w:p>
    <w:p>
      <w:pPr>
        <w:spacing w:line="360" w:lineRule="auto" w:after="120"/>
        <w:ind w:firstLine="708"/>
        <w:jc w:val="both"/>
      </w:pPr>
      <w:r>
        <w:rPr>
          <w:b w:val="0"/>
          <w:i w:val="0"/>
        </w:rPr>
        <w:t xml:space="preserve">O dano é presumido (art. 5º, X, CF). Descontos mensais indevidos sobre verba de natureza alimentar de idosa, aposentada por incapacidade, que retém, como visto, cerca de 42,6% de sua renda bruta total em consignações, comprimem diretamente o mínimo existencial, e não configuram mero aborrecimento. Somem-se a isso a exposição dos dados pessoais e biométricos da recorrente em contratação não consentida (LGPD, arts. 42 e 46) e o desvio produtivo do consumidor, que teve de descobrir os contratos, procurar o réu e litigar para ver reconhecida a fraude. Pede-se a fixação em </w:t>
      </w:r>
      <w:r>
        <w:rPr>
          <w:b/>
          <w:i w:val="0"/>
        </w:rPr>
        <w:t>R$ 40.000,00, valor postulado na inicial</w:t>
      </w:r>
      <w:r>
        <w:rPr>
          <w:b w:val="0"/>
          <w:i w:val="0"/>
        </w:rPr>
        <w:t>, em atenção à gravidade da conduta, à condição de idosa e ao caráter pedagógico, com juros desde o evento danoso (Súmula 54/STJ) e correção desde o arbitramento (Súmula 362/STJ), observado o art. 406 do CC na redação da Lei 14.905/2024 para o período posterior a 30/08/2024.</w:t>
      </w:r>
    </w:p>
    <w:p>
      <w:pPr>
        <w:spacing w:line="360" w:lineRule="auto" w:after="120"/>
        <w:ind w:firstLine="708"/>
        <w:jc w:val="both"/>
      </w:pPr>
      <w:r>
        <w:rPr>
          <w:b w:val="0"/>
          <w:i w:val="0"/>
        </w:rPr>
        <w:t>A repetição em dobro (art. 42, parágrafo único, CDC) é devida: a cobrança de contrato inexistente é conduta contrária à boa-fé objetiva, o que dispensa a prova de má-fé, e não há engano justificável em cobrar, por anos a fio, contratos cuja autoria o réu não conseguiu demonstrar (EAREsp 676.608/RS [VERIFICAR ANTES DE PROTOCOLAR]). Os valores descontados somam R$ 4.766,60 (R$ 792,00 + R$ 3.974,60), e o dobro, R$ 9.533,20, acrescido de correção desde cada desconto (Súmula 43/STJ) e de juros desde o evento (Súmula 54/STJ).</w:t>
      </w:r>
    </w:p>
    <w:p>
      <w:pPr>
        <w:spacing w:line="360" w:lineRule="auto" w:after="120"/>
        <w:ind w:firstLine="708"/>
        <w:jc w:val="both"/>
      </w:pPr>
      <w:r>
        <w:rPr>
          <w:b w:val="0"/>
          <w:i w:val="0"/>
        </w:rPr>
        <w:t>Para o caso remoto de a Turma entender necessário o encontro de contas postulado em contestação, sem reconhecer qualquer recebimento pela recorrente, requer-se que ele se limite estritamente aos valores cuja efetiva entrega à autora esteja comprovada nos autos, jamais aos valores de suposta liquidação de contratos anteriores, que o réu não comprovou, e sempre com dedução das parcelas já descontadas do benefício. Os montantes devidos à autora (dobro e dano moral) superam amplamente qualquer valor alegado pelo réu.</w:t>
      </w:r>
    </w:p>
    <w:p>
      <w:pPr>
        <w:keepNext/>
        <w:spacing w:line="360" w:lineRule="auto" w:after="160" w:before="240"/>
        <w:jc w:val="left"/>
        <w:pBdr>
          <w:bottom w:val="single" w:sz="8" w:space="1" w:color="1F3864"/>
        </w:pBdr>
      </w:pPr>
      <w:r>
        <w:rPr>
          <w:b/>
          <w:color w:val="1F3864"/>
        </w:rPr>
        <w:t>V — DO PREQUESTIONAMENTO</w:t>
      </w:r>
    </w:p>
    <w:p>
      <w:pPr>
        <w:spacing w:line="360" w:lineRule="auto" w:after="120"/>
        <w:ind w:firstLine="708"/>
        <w:jc w:val="both"/>
      </w:pPr>
      <w:r>
        <w:rPr>
          <w:b w:val="0"/>
          <w:i w:val="0"/>
        </w:rPr>
        <w:t>Para fins de eventual Recurso Extraordinário (art. 102, III, CF) e de pedido de uniformização, ficam expressamente prequestionados: art. 5º, X, XXXV e LXXIV, CF; arts. 6º, VIII, 14 e 17, CDC; Súmula 479/STJ; art. 373, I e II e § 1º, CPC; art. 98, CPC; arts. 104 e 169, CC; e arts. 42 e 46 da Lei 13.709/2018.</w:t>
      </w:r>
    </w:p>
    <w:p>
      <w:pPr>
        <w:keepNext/>
        <w:spacing w:line="360" w:lineRule="auto" w:after="160" w:before="240"/>
        <w:jc w:val="left"/>
        <w:pBdr>
          <w:bottom w:val="single" w:sz="8" w:space="1" w:color="1F3864"/>
        </w:pBdr>
      </w:pPr>
      <w:r>
        <w:rPr>
          <w:b/>
          <w:color w:val="1F3864"/>
        </w:rPr>
        <w:t>VI — DOS PEDIDOS</w:t>
      </w:r>
    </w:p>
    <w:p>
      <w:pPr>
        <w:spacing w:line="360" w:lineRule="auto" w:after="120"/>
        <w:jc w:val="both"/>
      </w:pPr>
      <w:r>
        <w:rPr>
          <w:b w:val="0"/>
          <w:i w:val="0"/>
        </w:rPr>
        <w:t>Ante o exposto, requer a recorrente:</w:t>
      </w:r>
    </w:p>
    <w:p>
      <w:pPr>
        <w:spacing w:line="360" w:lineRule="auto" w:after="120"/>
        <w:ind w:left="708" w:hanging="340"/>
        <w:jc w:val="both"/>
      </w:pPr>
      <w:r>
        <w:rPr>
          <w:b w:val="0"/>
        </w:rPr>
        <w:t>a) o deferimento da gratuidade da justiça, com dispensa de preparo (Doc. 1), e a prioridade de tramitação como pessoa idosa;</w:t>
      </w:r>
    </w:p>
    <w:p>
      <w:pPr>
        <w:spacing w:line="360" w:lineRule="auto" w:after="120"/>
        <w:ind w:left="708" w:hanging="340"/>
        <w:jc w:val="both"/>
      </w:pPr>
      <w:r>
        <w:rPr>
          <w:b w:val="0"/>
        </w:rPr>
        <w:t xml:space="preserve">b) o conhecimento e o provimento do recurso, para </w:t>
      </w:r>
      <w:r>
        <w:rPr>
          <w:b/>
        </w:rPr>
        <w:t>reformar integralmente a sentença</w:t>
      </w:r>
      <w:r>
        <w:rPr>
          <w:b w:val="0"/>
        </w:rPr>
        <w:t xml:space="preserve"> e julgar procedentes os pedidos da inicial;</w:t>
      </w:r>
    </w:p>
    <w:p>
      <w:pPr>
        <w:spacing w:line="360" w:lineRule="auto" w:after="120"/>
        <w:ind w:left="708" w:hanging="340"/>
        <w:jc w:val="both"/>
      </w:pPr>
      <w:r>
        <w:rPr>
          <w:b w:val="0"/>
        </w:rPr>
        <w:t xml:space="preserve">c) a </w:t>
      </w:r>
      <w:r>
        <w:rPr>
          <w:b/>
        </w:rPr>
        <w:t>declaração de inexistência</w:t>
      </w:r>
      <w:r>
        <w:rPr>
          <w:b w:val="0"/>
        </w:rPr>
        <w:t xml:space="preserve"> das relações jurídicas decorrentes dos contratos nº 194931262 e nº 205496249 e da inexigibilidade dos respectivos débitos;</w:t>
      </w:r>
    </w:p>
    <w:p>
      <w:pPr>
        <w:spacing w:line="360" w:lineRule="auto" w:after="120"/>
        <w:ind w:left="708" w:hanging="340"/>
        <w:jc w:val="both"/>
      </w:pPr>
      <w:r>
        <w:rPr>
          <w:b w:val="0"/>
        </w:rPr>
        <w:t xml:space="preserve">d) a </w:t>
      </w:r>
      <w:r>
        <w:rPr>
          <w:b/>
        </w:rPr>
        <w:t>repetição em dobro</w:t>
      </w:r>
      <w:r>
        <w:rPr>
          <w:b w:val="0"/>
        </w:rPr>
        <w:t xml:space="preserve"> dos valores descontados, R$ 4.766,60 (dobro: R$ 9.533,20), com correção desde cada desconto e juros desde o evento;</w:t>
      </w:r>
    </w:p>
    <w:p>
      <w:pPr>
        <w:spacing w:line="360" w:lineRule="auto" w:after="120"/>
        <w:ind w:left="708" w:hanging="340"/>
        <w:jc w:val="both"/>
      </w:pPr>
      <w:r>
        <w:rPr>
          <w:b w:val="0"/>
        </w:rPr>
        <w:t xml:space="preserve">e) a condenação do recorrido ao pagamento de </w:t>
      </w:r>
      <w:r>
        <w:rPr>
          <w:b/>
        </w:rPr>
        <w:t>indenização por danos morais de R$ 40.000,00</w:t>
      </w:r>
      <w:r>
        <w:rPr>
          <w:b w:val="0"/>
        </w:rPr>
        <w:t>, com juros desde o evento danoso (Súmula 54/STJ) e correção desde o arbitramento (Súmula 362/STJ);</w:t>
      </w:r>
    </w:p>
    <w:p>
      <w:pPr>
        <w:spacing w:line="360" w:lineRule="auto" w:after="120"/>
        <w:ind w:left="708" w:hanging="340"/>
        <w:jc w:val="both"/>
      </w:pPr>
      <w:r>
        <w:rPr>
          <w:b w:val="0"/>
        </w:rPr>
        <w:t>f) subsidiariamente, caso reconhecida compensação, que se limite aos valores cuja entrega à autora esteja comprovada, nos termos do item IV.6;</w:t>
      </w:r>
    </w:p>
    <w:p>
      <w:pPr>
        <w:spacing w:line="360" w:lineRule="auto" w:after="120"/>
        <w:ind w:left="708" w:hanging="340"/>
        <w:jc w:val="both"/>
      </w:pPr>
      <w:r>
        <w:rPr>
          <w:b w:val="0"/>
        </w:rPr>
        <w:t>g) a condenação do recorrido nas custas e nos honorários advocatícios de sucumbência recursal (art. 55, Lei 9.099/95);</w:t>
      </w:r>
    </w:p>
    <w:p>
      <w:pPr>
        <w:spacing w:line="360" w:lineRule="auto" w:after="120"/>
        <w:ind w:left="708" w:hanging="340"/>
        <w:jc w:val="both"/>
      </w:pPr>
      <w:r>
        <w:rPr>
          <w:b w:val="0"/>
        </w:rPr>
        <w:t>h) a realização de todas as intimações em nome do advogado signatário.</w:t>
      </w:r>
    </w:p>
    <w:p>
      <w:pPr>
        <w:spacing w:line="360" w:lineRule="auto" w:after="120"/>
        <w:jc w:val="both"/>
      </w:pPr>
      <w:r>
        <w:rPr>
          <w:b w:val="0"/>
          <w:i w:val="0"/>
        </w:rPr>
        <w:t>Termos em que pede deferimento.</w:t>
      </w:r>
    </w:p>
    <w:p>
      <w:pPr>
        <w:spacing w:line="360" w:lineRule="auto" w:after="120"/>
        <w:jc w:val="both"/>
      </w:pPr>
      <w:r>
        <w:rPr>
          <w:b w:val="0"/>
          <w:i w:val="0"/>
        </w:rPr>
        <w:t>Salvador/BA, data da assinatura eletrônica.</w:t>
      </w:r>
    </w:p>
    <w:p>
      <w:pPr>
        <w:spacing w:line="360" w:lineRule="auto" w:after="120"/>
        <w:jc w:val="center"/>
      </w:pPr>
      <w:r>
        <w:rPr>
          <w:b w:val="0"/>
          <w:i w:val="0"/>
        </w:rPr>
        <w:t>CLEYTON DA SILVA BARBOSA</w:t>
        <w:br/>
        <w:t>OAB/MS 17.311 — OAB/BA 92.148</w:t>
      </w:r>
    </w:p>
    <w:p>
      <w:pPr>
        <w:spacing w:line="360" w:lineRule="auto" w:after="120"/>
        <w:jc w:val="both"/>
      </w:pPr>
      <w:r>
        <w:rPr>
          <w:b/>
          <w:i w:val="0"/>
        </w:rPr>
        <w:t>Documento anexo:</w:t>
      </w:r>
      <w:r>
        <w:rPr>
          <w:b w:val="0"/>
          <w:i w:val="0"/>
        </w:rPr>
        <w:t xml:space="preserve"> Doc. 1 — Histórico de Créditos do INSS (Mary Raimunda Santos Almeida), emitido em 04/09/2026.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