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76" w:lineRule="auto"/>
        <w:jc w:val="both"/>
      </w:pPr>
      <w:r>
        <w:rPr>
          <w:b/>
          <w:i w:val="0"/>
        </w:rPr>
        <w:t>EXCELENTÍSSIMO(A) SENHOR(A) DOUTOR(A) JUIZ(A) DE DIREITO DA ___ª VARA CÍVEL DA COMARCA DE SALVADOR/BA</w:t>
      </w:r>
    </w:p>
    <w:p>
      <w:pPr>
        <w:spacing w:after="160" w:line="276" w:lineRule="auto"/>
        <w:jc w:val="both"/>
      </w:pPr>
      <w:r>
        <w:rPr>
          <w:b/>
          <w:i w:val="0"/>
        </w:rPr>
        <w:t>EMENTA: DIREITO DO CONSUMIDOR E DIREITO BANCÁRIO. AÇÃO REVISIONAL DE CONTRATOS DE CRÉDITO CONSIGNADO (CRÉDITO DO TRABALHADOR – CLT), COM DESCONTO EM FOLHA DE PAGAMENTO. DOIS CONTRATOS FIRMADOS COM A MESMA INSTITUIÇÃO EM OITO DIAS, COM MESMA TAXA (4,98% a.m.), MESMO PRAZO (48 PARCELAS) E MESMO CRONOGRAMA. CUSTO EFETIVO TOTAL DE 5,92% e 5,93% a.m. SUPERIOR A UMA VEZ E MEIA A TAXA MÉDIA DE MERCADO DIVULGADA PELO BANCO CENTRAL DO BRASIL (3,79% a.m.). CUSTO TOTAL DE MAIS DE 3,3 VEZES O CAPITAL RECEBIDO. OPERAÇÃO COM RISCO DE CRÉDITO MINIMIZADO (DESCONTO EM FOLHA E GARANTIAS EM FGTS, MULTA RESCISÓRIA E VERBAS RESCISÓRIAS). ENCARGOS FINANCIADOS (SEGURO E IOF) SOBRE OS QUAIS INCIDEM JUROS. ABUSIVIDADE PELO CONJUNTO DAS CIRCUNSTÂNCIAS CONCRETAS (REsp 1.061.530/RS; TEMA 1378/STJ). REPETIÇÃO DO INDÉBITO EM DOBRO (EAREsp 676.608/RS). TUTELA DE URGÊNCIA PARA LIMITAÇÃO DOS DESCONTOS ANTES DO PRIMEIRO VENCIMENTO. PROCEDÊNCIA.</w:t>
      </w:r>
    </w:p>
    <w:p>
      <w:pPr>
        <w:spacing w:after="160" w:line="276" w:lineRule="auto"/>
        <w:jc w:val="both"/>
      </w:pPr>
      <w:r>
        <w:rPr>
          <w:b w:val="0"/>
          <w:i w:val="0"/>
        </w:rPr>
        <w:t>Consulta pública da taxa média de juros — Banco Central do Brasil: www3.bcb.gov.br/sgspub/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 xml:space="preserve">FILIPE DOS SANTOS ALVES, brasileiro, casado, empregado sob o regime da Consolidação das Leis do Trabalho, portador do RG n.º </w:t>
      </w:r>
      <w:r>
        <w:rPr>
          <w:b/>
          <w:i w:val="0"/>
          <w:highlight w:val="yellow"/>
        </w:rPr>
        <w:t>[PREENCHER – nº do RG do Autor, não legível nos documentos da pasta]</w:t>
      </w:r>
      <w:r>
        <w:rPr>
          <w:b w:val="0"/>
          <w:i w:val="0"/>
        </w:rPr>
        <w:t>, inscrito no CPF sob o n.º 124.797.534-76, nascido em 03/05/1999, residente e domiciliado na Rua Santa Rita, n.º 15, bairro Clima Bom, CEP 57071-120, Maceió/AL, sem endereço eletrônico, vem, respeitosamente, por seu advogado infra-assinado (procuração anexa), à presença de Vossa Excelência, com fundamento nos arts. 1.º, III, 5.º, XXXII, e 170, V, da Constituição Federal, na Lei n.º 8.078/90 e no Código de Processo Civil, propor a presente</w:t>
      </w:r>
    </w:p>
    <w:p>
      <w:pPr>
        <w:spacing w:after="160" w:line="276" w:lineRule="auto"/>
        <w:jc w:val="center"/>
      </w:pPr>
      <w:r>
        <w:rPr>
          <w:b/>
          <w:i w:val="0"/>
        </w:rPr>
        <w:t>AÇÃO REVISIONAL DE CONTRATOS C/C REPETIÇÃO DE INDÉBITO,</w:t>
      </w:r>
    </w:p>
    <w:p>
      <w:pPr>
        <w:spacing w:after="160" w:line="276" w:lineRule="auto"/>
        <w:jc w:val="center"/>
      </w:pPr>
      <w:r>
        <w:rPr>
          <w:b/>
          <w:i w:val="0"/>
        </w:rPr>
        <w:t>TUTELA DE URGÊNCIA E INDENIZAÇÃO POR DANOS MATERIAIS E MORAIS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em face de FACTA FINANCEIRA S.A. CRÉDITO, FINANCIAMENTO E INVESTIMENTO, pessoa jurídica de direito privado, inscrita no CNPJ sob o n.º 15.581.638/0001-30, com sede na Rua dos Andradas, n.º 1409, salas 701 e 702, Centro, CEP 90020-011, Porto Alegre/RS, e-mail desconhecido, pelos fatos e fundamentos jurídicos a seguir articulados: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SEÇÃO I — DAS QUESTÕES PRELIMINARES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1. Da gratuidade da justiça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A parte Autora é trabalhador assalariado, empregado celetista. Sua renda — precisamente a renda que a Ré passará a corroer com os encargos adiante demonstrados — não comporta o pagamento de custas processuais e honorários advocatícios sem sacrifício do sustento próprio e familiar. A garantia do art. 5.º, LXXIV, da Constituição Federal não é benesse: é condição de acesso à jurisdição. Requer-se, pois, a concessão da gratuidade da justiça, na forma dos arts. 98 e seguintes do Código de Processo Civil, conforme declaração de hipossuficiência anexa.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2. Do desinteresse na audiência de conciliação e mediação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A parte Autora manifesta, desde logo, expresso desinteresse na designação da audiência do art. 334 do CPC (§5.º), em prestígio à razoável duração do processo (art. 5.º, LXXVIII, CF/88), sem prejuízo de eventual proposta de acordo que a Ré queira apresentar nos autos.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3. Do julgamento antecipado do mérito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A controvérsia é essencialmente documental: de um lado, os instrumentos contratuais com suas taxas e custos expressos; de outro, a série histórica oficial do Banco Central do Brasil, dado público e notório. Requer-se o julgamento antecipado do mérito (art. 355, I, do CPC), sem prejuízo da exibição de documentos e da perícia contábil que se mostrarem necessárias.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SEÇÃO II — DOS FATOS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1. Das contratações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A parte Autora é empregado celetista do CONSORCIO PEDCAC (CNPJ 55.246.486/0001-34, matrícula 133, admitido em 19/07/2025). Em apenas oito dias, por meio de correspondentes distintos, firmou eletronicamente com a Ré duas Cédulas de Crédito Bancário na modalidade Crédito do Trabalhador (consignado CLT), ambas com 48 parcelas mensais, com desconto em folha, mesmo cronograma (de 21/10/2026 a 21/09/2030) e mesma taxa de juros de 4,98% ao mês, conforme quadro abaixo: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</w:rPr>
              <w:t>ITEM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</w:rPr>
              <w:t>CONTRATO 1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</w:rPr>
              <w:t>CONTRATO 2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CCB / Proposta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266801120000 / 122798002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267393180003 / 122924889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Assinatura eletrônica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05/08/2026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13/08/2026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Valor líquido liberado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R$ 5.000,00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R$ 1.000,00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Seguro prestamista financiado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R$ 650,00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R$ 130,00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IOF financiado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R$ 162,83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R$ 32,23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Total financiado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R$ 5.812,83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R$ 1.162,23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Parcelas (48x)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R$ 349,65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R$ 69,01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Total devido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R$ 16.783,20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R$ 3.312,48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Taxa pactuada / CET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4,98% a.m. / 5,92% a.m.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4,98% a.m. / 5,93% a.m.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Consolidado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Líquido: R$ 6.000,00 | Prestação mensal conjunta: R$ 418,66 | Total devido: R$ 20.095,68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/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Recebendo R$ 6.000,00, a parte Autora obrigou-se a pagar R$ 20.095,68, isto é, mais de 3,3 vezes o capital efetivamente recebido (custo financeiro de R$ 14.095,68). Os dois contratos geram duas consignações concomitantes, que somam R$ 418,66 por competência. Até a data desta petição nenhuma parcela venceu; o primeiro desconto está previsto para 21/10/2026, o que torna urgente a intervenção judicial, como adiante se demonstrará.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2. Da demonstração aritmética da abusividade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No mês das contratações (agosto/2026), a taxa média de mercado divulgada pelo Banco Central do Brasil para a modalidade (crédito pessoal consignado a trabalhadores do setor privado) foi de 3,79% ao mês. O quadro comparativo é o seguinte: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</w:rPr>
              <w:t>PARÂMETRO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</w:rPr>
              <w:t>CONTRATO 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</w:rPr>
              <w:t>CONTRATO 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</w:rPr>
              <w:t>MERCADO (BACEN)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Taxa pactuada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4,98% a.m.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4,98% a.m.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3,79% a.m.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CET declarado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5,92% a.m. (101,27% a.a.)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5,93% a.m. (101,59% a.a.)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Taxa efetiva implícita (Price)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5,5690% a.m.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5,4789% a.m.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1,5 vez a taxa média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5,6850% a.m.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5,6850% a.m.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Prestação cobrada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R$ 349,65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R$ 69,01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Prestação pela taxa média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R$ 264,70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R$ 52,92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Excesso mensal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R$ 84,95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R$ 16,09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Excesso nominal em 48 parcelas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R$ 4.077,60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R$ 772,32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Valor incontroverso (48 x prestação revisada)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R$ 12.705,60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R$ 2.540,16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Em síntese, a taxa nominal contratada (4,98% a.m.) equivale a 1,31 vez a taxa média, ao passo que o Custo Efetivo Total (5,92% e 5,93% a.m.) e a taxa efetiva implícita calculada pelo Sistema Francês sobre o valor financiado (5,57% e 5,48% a.m.) aproximam-se ou superam a régua de uma vez e meia a taxa média (5,685% a.m.), referencial jurisprudencial de presunção de abusividade. O recálculo pela taxa média do BACEN, mantidos o valor financiado e o prazo, resulta em prestação conjunta de R$ 317,62, contra R$ 418,66 cobrados, com excesso mensal conjunto de R$ 101,04 e excesso nominal total projetado de R$ 4.849,92, conforme Memória de Cálculo anexa (Doc.).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Registre-se, por lealdade processual, que o cenário mais conservador — considerado o período de carência até a primeira parcela (77 dias no Contrato 1 e 69 dias no Contrato 2) capitalizado à taxa média — produz prestações revisadas de R$ 280,58 e R$ 55,55, com excesso mensal conjunto de R$ 82,53, excesso nominal total de R$ 3.961,44 e dobro de R$ 7.922,88; e que o cenário alternativo, calculado sobre o valor líquido liberado (expurgados o seguro e o IOF financiados), produz prestações de R$ 227,68 e R$ 45,54, com excesso nominal total de R$ 6.981,12. O pedido principal adota o cálculo pelo valor total financiado; os demais são apresentados para eventual liquidação.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3. Da arquitetura da operação: desconto em folha e garantias que eliminam o risco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O elemento que singulariza a conduta da Ré é a arquitetura do produto. Trata-se de crédito com desconto direto na folha de pagamento, com prioridade sobre outros consignados (cláusula 34), com autorização irrevogável de retenção de verbas rescisórias (cláusula 38) e com garantias cumulativas: 10% do saldo do FGTS, 100% da multa rescisória e 35% das verbas rescisórias, além do redirecionamento do saldo devedor para outros vínculos de emprego (cláusula 39) e do débito subsidiário em conta (cláusula 11). O trabalhador não escolhe pagar: a instituição se apropria da remuneração na fonte, blindando a cobrança contra qualquer resistência, e ainda se garante sobre o patrimônio rescisório e o FGTS.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Soma-se a isso que, dos valores financiados, R$ 812,83 (Contrato 1) e R$ 162,23 (Contrato 2) correspondem a seguro prestamista e IOF — encargos que foram incorporados ao saldo devedor e sobre os quais também incidem juros —, o que eleva o custo real da operação muito além do valor efetivamente recebido. O seguro prestamista financiado é objeto de ação própria, em razão da venda casada, sem prejuízo de sua repercussão no cálculo da presente revisional.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4. Do fracionamento em dois contratos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A contratação de dois empréstimos idênticos em condições (mesma taxa, mesmo prazo, mesmo cronograma de 48 parcelas com início em 21/10/2026), em apenas oito dias e por originadores distintos (N1 SERVICOS LTDA e PRONTO PROMOTORA LTDA), indica oferta fracionada e assédio de consumo, que impede o consumidor de dimensionar o custo global do endividamento e o comprometimento da margem consignável de 35% (cláusula 24).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SEÇÃO III — DO DIREITO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1. Da aplicação do Código de Defesa do Consumidor às instituições financeiras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A aplicação do Código de Defesa do Consumidor às instituições financeiras é matéria pacificada pela Súmula 297 do Superior Tribunal de Justiça e pelo julgamento da ADI 2.591 pelo Supremo Tribunal Federal:</w:t>
      </w:r>
    </w:p>
    <w:p>
      <w:pPr>
        <w:spacing w:after="160" w:line="276" w:lineRule="auto"/>
        <w:ind w:left="2268"/>
        <w:jc w:val="both"/>
      </w:pPr>
      <w:r>
        <w:rPr>
          <w:b w:val="0"/>
          <w:i w:val="0"/>
          <w:sz w:val="22"/>
        </w:rPr>
        <w:t>"O Código de Defesa do Consumidor é aplicável às instituições financeiras." (Súmula 297/STJ)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Incidem, portanto, o princípio da vulnerabilidade (art. 4.º, I), o dever de informação clara, adequada e ostensiva (arts. 6.º, III, 31, 46 e 52), a nulidade de pleno direito das cláusulas abusivas (art. 51, IV e §1.º, III), a vedação à vantagem manifestamente excessiva (art. 39, V) e a responsabilidade objetiva do fornecedor (art. 14), reforçada pela Súmula 479/STJ. A nulidade das cláusulas abusivas é de pleno direito e não convalesce pela assinatura, pelo pagamento ou pelo tempo.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2. Do dever de informação e do vício de consentimento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A validade do negócio repousa sobre a higidez da vontade, e a vontade pressupõe conhecimento. Cédula de Crédito Bancário em contrato de adesão, firmada eletronicamente, contendo dezenas de cláusulas e remissões, não cumpre, por si só, o dever de informação qualificada exigido pelo CDC. A taxa mensal isolada (4,98%), sem o confronto com o padrão de mercado e sem a tradução do custo total em relação ao valor recebido (3,36 vezes no Contrato 1 e 3,31 vezes no Contrato 2), é tecnicamente verdadeira, mas insuficiente para permitir ao consumidor compreender o sentido e o alcance da obrigação assumida. O art. 46 do CDC é expresso: os contratos não obrigam o consumidor se redigidos de modo a dificultar a compreensão de seu sentido e alcance.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3. Das práticas abusivas — art. 39, IV e V, do CDC</w:t>
      </w:r>
    </w:p>
    <w:p>
      <w:pPr>
        <w:spacing w:after="160" w:line="276" w:lineRule="auto"/>
        <w:ind w:left="2268"/>
        <w:jc w:val="both"/>
      </w:pPr>
      <w:r>
        <w:rPr>
          <w:b w:val="0"/>
          <w:i w:val="0"/>
          <w:sz w:val="22"/>
        </w:rPr>
        <w:t>"Art. 39. É vedado ao fornecedor de produtos ou serviços, dentre outras práticas abusivas: [...] IV — prevalecer-se da fraqueza ou ignorância do consumidor, tendo em vista sua idade, saúde, conhecimento ou condição social, para impingir-lhe seus produtos ou serviços; V — exigir do consumidor vantagem manifestamente excessiva;"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A contratação sucessiva de dois empréstimos, em curto intervalo, por trabalhador jovem, com pouco mais de um ano de vínculo e sem renda informada nos instrumentos, revela situação de necessidade financeira da qual o produto se aproveita. O custo total de mais de três vezes o capital recebido, aliado à garantia sobre FGTS, multa rescisória e verbas rescisórias, configura vantagem manifestamente excessiva.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4. Dos juros remuneratórios — a construção jurisprudencial do Superior Tribunal de Justiça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A liberação do teto de juros às instituições financeiras (Súmula 596/STF; Súmula 382/STJ) jamais significou a liberação do controle judicial. O marco definitivo é o REsp 1.061.530/RS (Segunda Seção, Rel. Min. Nancy Andrighi, rito dos recursos repetitivos), que admite a revisão das taxas quando caracterizada a relação de consumo e demonstrada a abusividade capaz de colocar o consumidor em desvantagem exagerada (art. 51, §1.º, CDC), erigindo a taxa média de mercado divulgada pelo Banco Central a referencial objetivo dessa aferição.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A jurisprudência sedimentou, ainda, a referência de uma vez e meia a taxa média como fronteira da presunção de abusividade. No caso, a taxa nominal (4,98% a.m.) situa-se abaixo dessa fronteira (5,685% a.m.), mas o custo efetivamente suportado pelo consumidor — o CET de 5,92% e 5,93% a.m. e a taxa efetiva implícita de 5,57% e 5,48% a.m. sobre o valor financiado — a alcança ou a supera. É o custo efetivo, e não o rótulo da taxa nominal, que mede o que o consumidor realmente paga, e é sobre ele que deve recair o controle de abusividade:</w:t>
      </w:r>
    </w:p>
    <w:p>
      <w:pPr>
        <w:spacing w:after="160" w:line="276" w:lineRule="auto"/>
        <w:ind w:left="2268"/>
        <w:jc w:val="both"/>
      </w:pPr>
      <w:r>
        <w:rPr>
          <w:b w:val="0"/>
          <w:i w:val="0"/>
          <w:sz w:val="22"/>
        </w:rPr>
        <w:t>"Nos contratos bancários, na impossibilidade de comprovar a taxa de juros efetivamente contratada [...] aplica-se a taxa média de mercado, divulgada pelo Bacen, praticada nas operações da mesma espécie, salvo se a taxa cobrada for mais vantajosa para o devedor." (Súmula 530/STJ)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5. Do baixo risco da operação e da ausência de justificativa para o spread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O spread bancário remunera, em tese, custos administrativos, tributos e risco de inadimplência. Na operação sub judice, o risco de crédito é minimizado pela própria engenharia do produto: (i) desconto direto na folha de pagamento; (ii) preferência sobre outros consignados; (iii) retenção de 10% do FGTS, 100% da multa rescisória e 35% das verbas rescisórias; (iv) redirecionamento para outros vínculos; e (v) débito subsidiário em conta. Cobrar, nessas condições, taxa efetiva que alcança ou ultrapassa uma vez e meia a média do segmento — média que já embute o risco das operações comuns — é extrair do consumidor prêmio de risco por risco que a Ré eliminou. É da Ré, e somente dela, o ônus de demonstrar documentalmente custo de captação, inadimplência da carteira e composição do spread que alegue.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6. Do Tema 1378/STJ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Registre-se que a Segunda Seção do Superior Tribunal de Justiça afetou ao rito dos recursos repetitivos o Tema 1378, para definir se a adoção das taxas médias de mercado divulgadas pelo Banco Central basta, como fundamento exclusivo, à aferição da abusividade dos juros remuneratórios. A afetação suspende os recursos especiais e agravos em recurso especial que versem sobre a questão (art. 1.037, II, do CPC), não as ações em tramitação no primeiro grau.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Esta inicial não emprega a taxa média como fundamento exclusivo. Ela comparece na função que o Tema 27/STJ lhe atribuiu — referencial objetivo —, e a desvantagem exagerada (art. 51, §1.º, CDC) vem demonstrada pelo conjunto das circunstâncias concretas: (i) CET superior a uma vez e meia a taxa média; (ii) custo total superior a 3,3 vezes o capital recebido; (iii) operação com risco de crédito minimizado, garantida em folha, FGTS e verbas rescisórias; (iv) encargos financiados (seguro e IOF) sobre os quais incidem juros; (v) fracionamento da oferta em dois contratos idênticos em oito dias; e (vi) contrato de adesão sem informação qualificada do custo efetivo da operação. Qualquer que seja a tese fixada, estão presentes as peculiaridades do caso concreto que a corrente mais exigente do repetitivo reclama.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7. Das cláusulas abusivas do contrato de adesão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O instrumento é contrato de adesão típico (art. 54, CDC). O art. 51, IV e §1.º, III, do CDC comina de nulidade as cláusulas que estabeleçam obrigações iníquas, abusivas ou que coloquem o consumidor em desvantagem exagerada, presumindo-se exagerada a vantagem excessivamente onerosa. Requer-se a declaração de nulidade da cláusula de juros remuneratórios (quadro de características da operação e cláusula 55), na parte em que exceda a taxa média de mercado, bem como a limitação das garantias da cláusula 38 e dos encargos moratórios da cláusula 44 (multa de 2% e juros de mora de 1% a.m., cumulados com juros remuneratórios), a serem apreciadas de forma incidental caso a Ré pretenda aplicá-las com base em saldo calculado à taxa abusiva.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8. Da capitalização de juros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A cláusula 55 prevê juros capitalizados mensalmente. A Súmula 541/STJ admite a capitalização quando a taxa anual contratada exceder o duodécuplo da mensal, o que ocorre (79,18% a.a. contra 59,76%), de modo que não se impugna a capitalização em si. Impugna-se a capitalização aplicada à taxa abusiva e requer-se a readequação com capitalização limitada à taxa média, bem como a exibição da planilha de cálculo mencionada na própria cláusula 55, que a Ré se comprometeu a apurar e que não foi entregue ao consumidor.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9. Da inversão do ônus da prova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A hipossuficiência técnica da parte Autora frente à instituição financeira Ré — detentora exclusiva da documentação, da contabilidade da operação e dos dados de averbação — impõe a inversão do ônus da prova, nos termos do art. 6.º, VIII, do CDC. Requer-se que a Ré junte aos autos, desde logo: (i) a planilha de cálculo mencionada na cláusula 55; (ii) o histórico de averbação (Dataprev/eConsignado) com a taxa efetiva e a data de averbação, nos termos da cláusula 25; (iii) o comprovante da liberação dos valores (TED/extrato), uma vez que os campos de banco, agência e conta da forma de liberação constam em branco nos instrumentos (código de banco "0"); e (iv) a integralidade dos documentos de contratação digital, inclusive a evidência da assinatura eletrônica e a documentação de identificação coletada.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10. Da tutela de urgência — art. 300 do CPC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Presentes os requisitos legais. A probabilidade do direito decorre de prova documental pré-constituída — as duas CCBs e a série histórica do BACEN —, que demonstra custo efetivo superior a uma vez e meia a taxa média e custo total superior a 3,3 vezes o capital recebido. O perigo de dano reside na iminência do primeiro desconto, previsto para 21/10/2026, sobre a remuneração do Autor, com duas consignações concomitantes no valor conjunto de R$ 418,66 por competência, ao longo de 48 meses. Trata-se de verba de natureza alimentar, cuja reposição posterior não restitui o mês vivido em privação. Registre-se, ainda, que não há perigo de irreversibilidade para a Ré, que continuará a receber o valor incontroverso.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Requer-se, assim, tutela de urgência, antes do primeiro desconto (21/10/2026), para limitar os descontos vincendos ao valor recalculado pela taxa média do BACEN (3,79% a.m.), isto é, R$ 264,70 mensais para o Contrato 1 e R$ 52,92 mensais para o Contrato 2 (R$ 317,62 no total), ou, subsidiariamente, para suspender os descontos no que excederem esse patamar, determinando-se que a Ré comunique a medida ao empregador e à plataforma de consignações, sob pena de multa diária de R$ 500,00 (quinhentos reais). Requer-se, ainda, que a Ré se abstenha de inscrever o nome do Autor em cadastros de inadimplentes e de reter FGTS, multa rescisória ou verbas rescisórias com base nos contratos até o julgamento final, quanto aos valores incontroversos adimplidos.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SEÇÃO IV — DOS DANOS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1. Danos materiais — repetição do indébito em dobro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Até a data desta petição nenhuma parcela venceu; os valores abaixo constituem, portanto, projeção para o caso de adimplemento integral, a ser confirmada mediante juntada dos contracheques com a rubrica de consignação, e liquidada na fase própria, com atualização do índice de correção até cada desconto efetivo. O excesso mensal conjunto é de R$ 101,04 (R$ 84,95 no Contrato 1 e R$ 16,09 no Contrato 2), perfazendo excesso nominal total projetado de R$ 4.849,92 em 48 parcelas, e R$ 9.699,84 em dobro (R$ 8.155,20 no Contrato 1 e R$ 1.544,64 no Contrato 2). Requer-se a condenação da Ré à restituição, em dobro, de todos os valores que vierem a ser descontados em excesso, inclusive as parcelas vincendas no curso da lide (art. 323 do CPC), nos termos do art. 42, parágrafo único, do CDC e da tese fixada pela Corte Especial do STJ:</w:t>
      </w:r>
    </w:p>
    <w:p>
      <w:pPr>
        <w:spacing w:after="160" w:line="276" w:lineRule="auto"/>
        <w:ind w:left="2268"/>
        <w:jc w:val="both"/>
      </w:pPr>
      <w:r>
        <w:rPr>
          <w:b w:val="0"/>
          <w:i w:val="0"/>
          <w:sz w:val="22"/>
        </w:rPr>
        <w:t>"A restituição em dobro do indébito (parágrafo único do artigo 42 do CDC) independe da natureza do elemento volitivo do fornecedor que cobrou valor indevido, revelando-se cabível quando a cobrança indevida consubstanciar conduta contrária à boa-fé objetiva." (STJ, Corte Especial, EAREsp 676.608/RS, Rel. Min. Og Fernandes, j. 21/10/2020)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Os valores serão acrescidos de correção monetária pelo IPCA desde cada desconto (Súmula 43/STJ) e juros de mora desde a citação.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2. Do dano moral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O dano moral é um só — a lesão à dignidade do trabalhador — e se manifesta em três dimensões, apreciadas conjuntamente na fixação do quantum. A primeira é a da exposição ao abuso: a imposição de encargos que alcançam e superam o limite de abusividade, com apropriação direta da remuneração e comprometimento do patrimônio rescisório e do FGTS, ultrapassa o mero dissabor. A segunda é a do tempo subtraído (desvio produtivo do consumidor): o Autor foi compelido a buscar orientação jurídica, reunir documentos e litigar para desfazer o abuso. A terceira é a do comprometimento da renda: cada real extraído além da taxa de mercado é subtraído de alimentação, moradia e saúde, atingindo o mínimo existencial (arts. 1.º, III, e 7.º, IV e X, da CF/88).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Na quantificação, adota-se o método bifásico do STJ. Atentos à natureza alimentar da verba atingida, ao mecanismo de cobrança inescapável e ao porte econômico da Ré, requer-se a fixação da indenização em R$ 10.000,00 (dez mil reais), patamar moderado, que compensa sem enriquecer e adverte sem confiscar.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SEÇÃO V — DOS PEDIDOS</w:t>
      </w:r>
    </w:p>
    <w:p>
      <w:pPr>
        <w:spacing w:after="160" w:line="276" w:lineRule="auto"/>
        <w:jc w:val="both"/>
      </w:pPr>
      <w:r>
        <w:rPr>
          <w:b w:val="0"/>
          <w:i w:val="0"/>
        </w:rPr>
        <w:t>Ante todo o exposto, requer-se a Vossa Excelência:</w:t>
      </w:r>
    </w:p>
    <w:p>
      <w:pPr>
        <w:spacing w:after="160" w:line="276" w:lineRule="auto"/>
        <w:jc w:val="both"/>
      </w:pPr>
      <w:r>
        <w:rPr>
          <w:b w:val="0"/>
          <w:i w:val="0"/>
        </w:rPr>
        <w:t>a) a concessão dos benefícios da gratuidade da justiça, nos termos dos arts. 98 e 99 do CPC;</w:t>
      </w:r>
    </w:p>
    <w:p>
      <w:pPr>
        <w:spacing w:after="160" w:line="276" w:lineRule="auto"/>
        <w:jc w:val="both"/>
      </w:pPr>
      <w:r>
        <w:rPr>
          <w:b w:val="0"/>
          <w:i w:val="0"/>
        </w:rPr>
        <w:t>b) a não designação de audiência de conciliação e mediação, ante o desinteresse expresso da parte Autora (art. 334, §5.º, CPC);</w:t>
      </w:r>
    </w:p>
    <w:p>
      <w:pPr>
        <w:spacing w:after="160" w:line="276" w:lineRule="auto"/>
        <w:jc w:val="both"/>
      </w:pPr>
      <w:r>
        <w:rPr>
          <w:b w:val="0"/>
          <w:i w:val="0"/>
        </w:rPr>
        <w:t>c) a concessão de TUTELA DE URGÊNCIA, antes do primeiro desconto previsto para 21/10/2026, para limitar os descontos vincendos dos contratos CCB 266801120000 e CCB 267393180003 ao valor recalculado pela taxa média do BACEN (3,79% a.m.), isto é, R$ 264,70 e R$ 52,92 mensais, respectivamente (R$ 317,62 no total), ou, subsidiariamente, suspender os descontos no que excederem esse patamar, com comunicação ao empregador (CONSORCIO PEDCAC) e à plataforma de consignações, sob pena de multa diária de R$ 500,00, sem prejuízo da vedação de inscrição do nome do Autor em cadastros de inadimplentes e de retenção de FGTS, multa rescisória e verbas rescisórias quanto aos valores incontroversos;</w:t>
      </w:r>
    </w:p>
    <w:p>
      <w:pPr>
        <w:spacing w:after="160" w:line="276" w:lineRule="auto"/>
        <w:jc w:val="both"/>
      </w:pPr>
      <w:r>
        <w:rPr>
          <w:b w:val="0"/>
          <w:i w:val="0"/>
        </w:rPr>
        <w:t>d) a inversão do ônus da prova (art. 6.º, VIII, CDC), determinando-se à Ré a juntada da integralidade da documentação contratual, da planilha de cálculo da cláusula 55, do histórico de averbação (Dataprev/eConsignado), do comprovante de liberação dos valores e dos dados de composição do spread;</w:t>
      </w:r>
    </w:p>
    <w:p>
      <w:pPr>
        <w:spacing w:after="160" w:line="276" w:lineRule="auto"/>
        <w:jc w:val="both"/>
      </w:pPr>
      <w:r>
        <w:rPr>
          <w:b w:val="0"/>
          <w:i w:val="0"/>
        </w:rPr>
        <w:t>e) a citação da Ré para, querendo, contestar, sob pena de revelia e confissão quanto à matéria de fato (art. 344, CPC);</w:t>
      </w:r>
    </w:p>
    <w:p>
      <w:pPr>
        <w:spacing w:after="160" w:line="276" w:lineRule="auto"/>
        <w:jc w:val="both"/>
      </w:pPr>
      <w:r>
        <w:rPr>
          <w:b w:val="0"/>
          <w:i w:val="0"/>
        </w:rPr>
        <w:t>f) a declaração de abusividade dos encargos pactuados nos dois contratos (taxa de 4,98% a.m., CET de 5,92% e 5,93% a.m.) e a revisão dos contratos, com readequação dos encargos à taxa média de mercado divulgada pelo Banco Central do Brasil para a modalidade e período (3,79% a.m.), pelo Sistema Francês de Amortização, vedada a capitalização em taxa superior à média, fixando-se as prestações revisadas em R$ 264,70 (Contrato 1) e R$ 52,92 (Contrato 2);</w:t>
      </w:r>
    </w:p>
    <w:p>
      <w:pPr>
        <w:spacing w:after="160" w:line="276" w:lineRule="auto"/>
        <w:jc w:val="both"/>
      </w:pPr>
      <w:r>
        <w:rPr>
          <w:b w:val="0"/>
          <w:i w:val="0"/>
        </w:rPr>
        <w:t>g) a declaração de nulidade das cláusulas abusivas dos contratos de adesão, em especial a cláusula de juros remuneratórios (quadro de características e cláusula 55) na parte em que exceda a taxa média, nos termos do art. 51, IV e §1.º, III, do CDC;</w:t>
      </w:r>
    </w:p>
    <w:p>
      <w:pPr>
        <w:spacing w:after="160" w:line="276" w:lineRule="auto"/>
        <w:jc w:val="both"/>
      </w:pPr>
      <w:r>
        <w:rPr>
          <w:b w:val="0"/>
          <w:i w:val="0"/>
        </w:rPr>
        <w:t>h) a condenação da Ré à repetição do indébito em dobro de todos os valores descontados em excesso, projetados em R$ 9.699,84 (R$ 8.155,20 no Contrato 1 e R$ 1.544,64 no Contrato 2), a ser apurado em liquidação conforme os descontos efetivamente realizados, nos termos do art. 42, parágrafo único, do CDC e da tese fixada no EAREsp 676.608/RS (Corte Especial/STJ), com correção monetária desde cada desconto e juros de mora desde a citação;</w:t>
      </w:r>
    </w:p>
    <w:p>
      <w:pPr>
        <w:spacing w:after="160" w:line="276" w:lineRule="auto"/>
        <w:jc w:val="both"/>
      </w:pPr>
      <w:r>
        <w:rPr>
          <w:b w:val="0"/>
          <w:i w:val="0"/>
        </w:rPr>
        <w:t>i) a condenação da Ré ao pagamento de indenização por dano moral, no valor de R$ 10.000,00 (dez mil reais), considerando-se, na fixação do quantum, todas as dimensões da lesão demonstradas — a exposição à vantagem manifestamente excessiva, o desvio produtivo e o comprometimento da renda alimentar;</w:t>
      </w:r>
    </w:p>
    <w:p>
      <w:pPr>
        <w:spacing w:after="160" w:line="276" w:lineRule="auto"/>
        <w:jc w:val="both"/>
      </w:pPr>
      <w:r>
        <w:rPr>
          <w:b w:val="0"/>
          <w:i w:val="0"/>
        </w:rPr>
        <w:t>j) a condenação da Ré em custas processuais e honorários advocatícios de 20% sobre o valor da condenação (art. 85, §2.º, CPC);</w:t>
      </w:r>
    </w:p>
    <w:p>
      <w:pPr>
        <w:spacing w:after="160" w:line="276" w:lineRule="auto"/>
        <w:jc w:val="both"/>
      </w:pPr>
      <w:r>
        <w:rPr>
          <w:b w:val="0"/>
          <w:i w:val="0"/>
        </w:rPr>
        <w:t>k) a produção de todas as provas em direito admitidas, em especial a documental, a pericial contábil e o depoimento pessoal do representante legal da Ré, sob pena de confissão.</w:t>
      </w:r>
    </w:p>
    <w:p>
      <w:pPr>
        <w:spacing w:after="160" w:line="276" w:lineRule="auto"/>
        <w:ind w:firstLine="709"/>
        <w:jc w:val="both"/>
      </w:pPr>
      <w:r>
        <w:rPr>
          <w:b w:val="0"/>
          <w:i w:val="0"/>
        </w:rPr>
        <w:t>Dá-se à causa o valor de R$ 19.699,84 (dezenove mil, seiscentos e noventa e nove reais e oitenta e quatro centavos), correspondente à repetição em dobro projetada (R$ 9.699,84) somada ao dano moral (R$ 10.000,00).</w:t>
      </w:r>
    </w:p>
    <w:p>
      <w:pPr>
        <w:keepNext/>
        <w:spacing w:after="160" w:line="276" w:lineRule="auto" w:before="200"/>
        <w:jc w:val="both"/>
      </w:pPr>
      <w:r>
        <w:rPr>
          <w:b/>
          <w:i w:val="0"/>
        </w:rPr>
        <w:t>DOS DOCUMENTOS</w:t>
      </w:r>
    </w:p>
    <w:p>
      <w:pPr>
        <w:spacing w:after="160" w:line="276" w:lineRule="auto"/>
        <w:jc w:val="both"/>
      </w:pPr>
      <w:r>
        <w:rPr>
          <w:b w:val="0"/>
          <w:i w:val="0"/>
        </w:rPr>
        <w:t>1. Procuração e declaração de hipossuficiência;</w:t>
      </w:r>
    </w:p>
    <w:p>
      <w:pPr>
        <w:spacing w:after="160" w:line="276" w:lineRule="auto"/>
        <w:jc w:val="both"/>
      </w:pPr>
      <w:r>
        <w:rPr>
          <w:b w:val="0"/>
          <w:i w:val="0"/>
        </w:rPr>
        <w:t>2. Documento de identificação (RG) e CPF;</w:t>
      </w:r>
    </w:p>
    <w:p>
      <w:pPr>
        <w:spacing w:after="160" w:line="276" w:lineRule="auto"/>
        <w:jc w:val="both"/>
      </w:pPr>
      <w:r>
        <w:rPr>
          <w:b w:val="0"/>
          <w:i w:val="0"/>
        </w:rPr>
        <w:t>3. Comprovante de residência;</w:t>
      </w:r>
    </w:p>
    <w:p>
      <w:pPr>
        <w:spacing w:after="160" w:line="276" w:lineRule="auto"/>
        <w:jc w:val="both"/>
      </w:pPr>
      <w:r>
        <w:rPr>
          <w:b w:val="0"/>
          <w:i w:val="0"/>
        </w:rPr>
        <w:t>4. Cédulas de Crédito Bancário n.º 266801120000 (proposta 122798002) e n.º 267393180003 (proposta 122924889);</w:t>
      </w:r>
    </w:p>
    <w:p>
      <w:pPr>
        <w:spacing w:after="160" w:line="276" w:lineRule="auto"/>
        <w:jc w:val="both"/>
      </w:pPr>
      <w:r>
        <w:rPr>
          <w:b w:val="0"/>
          <w:i w:val="0"/>
        </w:rPr>
        <w:t>5. Memória de Cálculo (Laudo Unificado de Cálculo Revisional), com a série histórica da taxa média do BACEN;</w:t>
      </w:r>
    </w:p>
    <w:p>
      <w:pPr>
        <w:spacing w:after="160" w:line="276" w:lineRule="auto"/>
        <w:jc w:val="both"/>
      </w:pPr>
      <w:r>
        <w:rPr>
          <w:b w:val="0"/>
          <w:i w:val="0"/>
        </w:rPr>
        <w:t>6. Contracheques com a rubrica de consignação e extratos da conta de liberação [a juntar quando disponíveis].</w:t>
      </w:r>
    </w:p>
    <w:p>
      <w:pPr>
        <w:spacing w:after="160" w:line="276" w:lineRule="auto"/>
        <w:jc w:val="both"/>
      </w:pPr>
      <w:r>
        <w:rPr>
          <w:b w:val="0"/>
          <w:i w:val="0"/>
        </w:rPr>
        <w:t>Nestes termos,</w:t>
      </w:r>
    </w:p>
    <w:p>
      <w:pPr>
        <w:spacing w:after="160" w:line="276" w:lineRule="auto"/>
        <w:jc w:val="both"/>
      </w:pPr>
      <w:r>
        <w:rPr>
          <w:b w:val="0"/>
          <w:i w:val="0"/>
        </w:rPr>
        <w:t>Pede deferimento.</w:t>
      </w:r>
    </w:p>
    <w:p>
      <w:pPr>
        <w:spacing w:after="160" w:line="276" w:lineRule="auto"/>
        <w:jc w:val="both"/>
      </w:pPr>
      <w:r>
        <w:rPr>
          <w:b w:val="0"/>
          <w:i w:val="0"/>
        </w:rPr>
        <w:t>Salvador/BA, 7 de outubro de 2026.</w:t>
      </w:r>
    </w:p>
    <w:p>
      <w:pPr>
        <w:spacing w:after="160" w:line="276" w:lineRule="auto"/>
        <w:jc w:val="center"/>
      </w:pPr>
      <w:r>
        <w:rPr>
          <w:b w:val="0"/>
          <w:i w:val="0"/>
        </w:rPr>
        <w:t>______________________________________</w:t>
      </w:r>
    </w:p>
    <w:p>
      <w:pPr>
        <w:spacing w:after="160" w:line="276" w:lineRule="auto"/>
        <w:jc w:val="center"/>
      </w:pPr>
      <w:r>
        <w:rPr>
          <w:b/>
          <w:i w:val="0"/>
        </w:rPr>
        <w:t>CLEYTON DA SILVA BARBOSA - OAB/BA 92.148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