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60" w:lineRule="auto"/>
        <w:jc w:val="left"/>
      </w:pPr>
      <w:r>
        <w:rPr>
          <w:b/>
        </w:rPr>
        <w:t xml:space="preserve">EXCELENTÍSSIMO(A) SENHOR(A) DOUTOR(A) JUIZ(A) DE DIREITO DA ___ª VARA CÍVEL DA COMARCA DE SALVADOR/BA </w:t>
      </w:r>
      <w:r>
        <w:rPr>
          <w:b/>
          <w:highlight w:val="yellow"/>
        </w:rPr>
        <w:t>[CONFERIR FORO: Autor domiciliado em Aracaju/SE (art. 101, I, CDC) — ver relatório]</w:t>
      </w:r>
    </w:p>
    <w:p>
      <w:pPr>
        <w:spacing w:after="160" w:line="360" w:lineRule="auto"/>
        <w:jc w:val="both"/>
      </w:pPr>
      <w:r>
        <w:rPr>
          <w:b/>
        </w:rPr>
        <w:t>EMENTA:</w:t>
      </w:r>
      <w:r>
        <w:rPr>
          <w:b w:val="0"/>
        </w:rPr>
        <w:t xml:space="preserve"> DIREITO DO CONSUMIDOR E DIREITO BANCÁRIO. AÇÃO REVISIONAL INSTRUÍDA COM OS PRÓPRIOS INSTRUMENTOS CONTRATUAIS — PROVA PRÉ-CONSTITUÍDA. DOIS EMPRÉSTIMOS PESSOAIS FIRMADOS EM 26 DIAS COM A MESMA INSTITUIÇÃO, DEBITADOS NA CONTA DE RECEBIMENTO DO VENCIMENTO DO SERVIDOR PÚBLICO: R$ 6.503,94 LIBERADOS PARA R$ 19.069,80 A PAGAR (2,93 VEZES O VALOR RECEBIDO). TAXA PACTUADA DE 22% a.m. (987,22% a.a.) EM CONFRONTO COM A MÉDIA DE MERCADO DE 6,39% a.m. — AGOSTO/2026, BANCO CENTRAL DO BRASIL: 3,44 VEZES A MÉDIA E 2,30 VEZES A RÉGUA DE 1,5x. NULIDADE DE CLÁUSULAS DO CONTRATO DE ADESÃO (ART. 51, I, IV E §1.º, III, CDC): RENÚNCIA À DISCUSSÃO DE ABUSIVIDADE, REDUTOR DE JUROS CONDICIONADO AO DÉBITO EM CONTA, ALIENAÇÃO FIDUCIÁRIA DE APARELHO CELULAR E TARIFA DE CADASTRO. CAPITALIZAÇÃO MENSAL SEM PACTUAÇÃO QUALIFICADA. CONCESSÃO REITERADA DE CRÉDITO E RISCO DE SUPERENDIVIDAMENTO (LEI 14.181/2021). REPETIÇÃO EM DOBRO INDEPENDENTEMENTE DE MÁ-FÉ (EAREsp 676.608/RS). DISTINGUISHING FRENTE AO TEMA 1378/STJ. DANO MORAL ÚNICO, AFERIDO EM TRÊS DIMENSÕES. TUTELA DE URGÊNCIA. PROCEDÊNCIA.</w:t>
      </w:r>
    </w:p>
    <w:p>
      <w:pPr>
        <w:spacing w:after="160" w:line="360" w:lineRule="auto"/>
        <w:jc w:val="left"/>
      </w:pPr>
      <w:r>
        <w:rPr>
          <w:b w:val="0"/>
          <w:i/>
        </w:rPr>
        <w:t>Consulta pública da taxa média de juros — Banco Central do Brasil: www3.bcb.gov.br/sgspub/</w:t>
      </w:r>
    </w:p>
    <w:p>
      <w:pPr>
        <w:spacing w:after="160" w:line="360" w:lineRule="auto"/>
        <w:ind w:firstLine="709"/>
        <w:jc w:val="both"/>
      </w:pPr>
      <w:r>
        <w:rPr>
          <w:b/>
        </w:rPr>
        <w:t>RICARDO COSTA NUNES</w:t>
      </w:r>
      <w:r>
        <w:rPr>
          <w:b w:val="0"/>
        </w:rPr>
        <w:t xml:space="preserve">, brasileiro, </w:t>
      </w:r>
      <w:r>
        <w:rPr>
          <w:b/>
          <w:highlight w:val="yellow"/>
        </w:rPr>
        <w:t>[ESTADO CIVIL — laudo indica "desquitado/divorciado"; confirmar]</w:t>
      </w:r>
      <w:r>
        <w:rPr>
          <w:b w:val="0"/>
        </w:rPr>
        <w:t>, servidor público, portador do RG n.º 885267 SSP/SE, inscrito no CPF sob o n.º 516.243.115-04, residente e domiciliado na Rua Fábio Anchieta, n.º 215, Casa, Bairro Santa Maria, CEP 49043-550, Aracaju/SE, sem endereço eletrônico, vem, respeitosamente, por seu advogado infra-assinado (procuração anexa), à presença de Vossa Excelência, propor a presente</w:t>
      </w:r>
    </w:p>
    <w:p>
      <w:pPr>
        <w:spacing w:after="160" w:line="360" w:lineRule="auto"/>
        <w:jc w:val="center"/>
      </w:pPr>
      <w:r>
        <w:rPr>
          <w:b/>
        </w:rPr>
        <w:t>AÇÃO REVISIONAL DE CONTRATOS BANCÁRIOS C/C DECLARAÇÃO DE NULIDADE DE CLÁUSULAS ABUSIVAS, REPETIÇÃO DE INDÉBITO EM DOBRO, TUTELA DE URGÊNCIA E INDENIZAÇÃO POR DANOS MORAIS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em face de </w:t>
      </w:r>
      <w:r>
        <w:rPr>
          <w:b/>
        </w:rPr>
        <w:t>CREFISA S.A. CRÉDITO, FINANCIAMENTO E INVESTIMENTOS</w:t>
      </w:r>
      <w:r>
        <w:rPr>
          <w:b w:val="0"/>
        </w:rPr>
        <w:t>, pessoa jurídica de direito privado, inscrita no CNPJ sob o n.º 60.779.196/0001-96, com sede na Rua Canadá, n.º 387, Bairro Jardim América, São Paulo/SP, CEP 01436-900, e-mail &lt;publicacoes.juridico@crefisa.com.br&gt;, pelos fundamentos que passa a expor:</w:t>
      </w:r>
    </w:p>
    <w:p>
      <w:pPr>
        <w:keepNext/>
        <w:spacing w:after="160" w:line="360" w:lineRule="auto" w:before="200"/>
        <w:jc w:val="left"/>
      </w:pPr>
      <w:r>
        <w:rPr>
          <w:b/>
        </w:rPr>
        <w:t>CAPÍTULO 1 — PRELIMINARES</w:t>
      </w:r>
    </w:p>
    <w:p>
      <w:pPr>
        <w:keepNext/>
        <w:spacing w:after="160" w:line="360" w:lineRule="auto" w:before="200"/>
        <w:jc w:val="left"/>
      </w:pPr>
      <w:r>
        <w:rPr>
          <w:b/>
        </w:rPr>
        <w:t>1.1. Da gratuidade da justiça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O Autor é servidor público, cuja remuneração, de natureza alimentar, é depositada na conta em que a Ré promove os débitos das prestações, hoje somados em R$ 1.589,15 mensais. Junta declaração de hipossuficiência (art. 99, §3.º, CPC), presumidamente verdadeira, ressaltando que o comprometimento mensal ora debatido, por si só, demonstra a vulnerabilidade financeira de quem precisou contratar dois empréstimos em menos de um mês. Requer-se a concessão do benefício (arts. 98 e 99 do CPC; art. 5.º, LXXIV, CF/88). </w:t>
      </w:r>
      <w:r>
        <w:rPr>
          <w:b/>
          <w:highlight w:val="yellow"/>
        </w:rPr>
        <w:t>[Juntar contracheque, se disponível — o laudo registra que a renda líquida não consta dos documentos]</w:t>
      </w:r>
    </w:p>
    <w:p>
      <w:pPr>
        <w:keepNext/>
        <w:spacing w:after="160" w:line="360" w:lineRule="auto" w:before="200"/>
        <w:jc w:val="left"/>
      </w:pPr>
      <w:r>
        <w:rPr>
          <w:b/>
        </w:rPr>
        <w:t>1.2. Do desinteresse na audiência de conciliação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Manifesta-se expresso desinteresse na audiência do art. 334 do CPC (§5.º). A prática forense demonstra que, nestas demandas, o ato conciliatório converteu-se em etapa protocolar sem conteúdo compositivo real, servindo apenas ao alongamento do procedimento. A dispensa prestigia a razoável duração do processo (art. 5.º, LXXVIII, CF/88).</w:t>
      </w:r>
    </w:p>
    <w:p>
      <w:pPr>
        <w:keepNext/>
        <w:spacing w:after="160" w:line="360" w:lineRule="auto" w:before="200"/>
        <w:jc w:val="left"/>
      </w:pPr>
      <w:r>
        <w:rPr>
          <w:b/>
        </w:rPr>
        <w:t>1.3. Do julgamento antecipado do mérito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Esta demanda nasce com um trunfo probatório raro no contencioso revisional: os próprios instrumentos contratuais estão nos autos, ao lado da série histórica oficial do Banco Central. Taxa pactuada e taxa de mercado são fatos documentais; o que resta é operação aritmética e qualificação jurídica. Requer-se o julgamento antecipado (art. 355, I, CPC), sem prejuízo da prova pericial contábil, caso Vossa Excelência a repute necessária.</w:t>
      </w:r>
    </w:p>
    <w:p>
      <w:pPr>
        <w:keepNext/>
        <w:spacing w:after="160" w:line="360" w:lineRule="auto" w:before="200"/>
        <w:jc w:val="left"/>
      </w:pPr>
      <w:r>
        <w:rPr>
          <w:b/>
        </w:rPr>
        <w:t>1.4. Da reunião de contratos na mesma ação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Os dois contratos foram firmados entre as mesmas partes, na mesma modalidade, com idêntica taxa e cláusulas-padrão, com débito na mesma conta e em intervalo de 26 dias. Há evidente conexão pela causa de pedir (art. 55 do CPC) e cumulação objetiva de pedidos compatíveis (art. 327 do CPC), de modo que a análise conjunta evita decisões conflitantes e permite apreciar, em sua dimensão real, o comprometimento da renda do Autor.</w:t>
      </w:r>
    </w:p>
    <w:p>
      <w:pPr>
        <w:keepNext/>
        <w:spacing w:after="160" w:line="360" w:lineRule="auto" w:before="200"/>
        <w:jc w:val="left"/>
      </w:pPr>
      <w:r>
        <w:rPr>
          <w:b/>
        </w:rPr>
        <w:t>CAPÍTULO 2 — DOS FATOS</w:t>
      </w:r>
    </w:p>
    <w:p>
      <w:pPr>
        <w:keepNext/>
        <w:spacing w:after="160" w:line="360" w:lineRule="auto" w:before="200"/>
        <w:jc w:val="left"/>
      </w:pPr>
      <w:r>
        <w:rPr>
          <w:b/>
        </w:rPr>
        <w:t>2.1. Dos contratos e de sua matemática confiscatória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O Autor celebrou com a Ré, por meio de proposta emitida via WhatsApp e instrumento de adesão eletrônico, dois contratos de empréstimo pessoal, ambos com pagamento em 12 parcelas mensais por débito em conta no Banco do Brasil (ag. 8081-0, c/c 32387-X), onde recebe seu vencimento, e crédito por TED na mesma conta — instrumentos anexos: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CONTRATO 1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CONTRATO 2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N.º do contrato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011960691315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043520011448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Data do contrato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07/08/2026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02/09/2026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Valor liberado (TED)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R$ 2.999,98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R$ 3.503,96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IOF financiado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R$ 44,54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R$ 51,13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Tarifa de cadastro (TCC)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R$ 130,00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R$ 0,00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Valor financiado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R$ 3.174,52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R$ 3.555,09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Prazo / prestação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12 × R$ 739,15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12 × R$ 850,00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Vencimentos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31/08/2026 a 30/07/2027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30/09/2026 a 31/08/2027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Total a pagar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R$ 8.869,80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R$ 10.200,00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Taxa pactuada (com redutor)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22,00% a.m. / 987,22% a.a.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22,00% a.m. / 987,22% a.a.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CET declarado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23,92% a.m. / 1.211,36% a.a.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22,57% a.m. / 1.049,40% a.a.</w:t>
            </w:r>
          </w:p>
        </w:tc>
      </w:tr>
    </w:tbl>
    <w:p>
      <w:pPr>
        <w:spacing w:after="80"/>
      </w:pP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Consolidados, o Autor recebeu </w:t>
      </w:r>
      <w:r>
        <w:rPr>
          <w:b/>
        </w:rPr>
        <w:t>R$ 6.503,94</w:t>
      </w:r>
      <w:r>
        <w:rPr>
          <w:b w:val="0"/>
        </w:rPr>
        <w:t xml:space="preserve"> e deverá devolver </w:t>
      </w:r>
      <w:r>
        <w:rPr>
          <w:b/>
        </w:rPr>
        <w:t>R$ 19.069,80</w:t>
      </w:r>
      <w:r>
        <w:rPr>
          <w:b w:val="0"/>
        </w:rPr>
        <w:t xml:space="preserve"> — 2,93 vezes o capital recebido, com encargos de R$ 12.565,86 em apenas 12 meses. No Contrato 1, o multiplicador é de 2,96 vezes; no Contrato 2, de 2,91 vezes. Observa-se, ainda, que o Contrato 1 embute tarifa de cadastro de R$ 130,00, ao passo que o Contrato 2, da mesma Ré, não a cobra — o que evidencia o caráter arbitrário da cobrança.</w:t>
      </w:r>
    </w:p>
    <w:p>
      <w:pPr>
        <w:keepNext/>
        <w:spacing w:after="160" w:line="360" w:lineRule="auto" w:before="200"/>
        <w:jc w:val="left"/>
      </w:pPr>
      <w:r>
        <w:rPr>
          <w:b/>
        </w:rPr>
        <w:t>2.2. Do confronto com a taxa média do Banco Central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Na competência de agosto de 2026, a taxa média de mercado divulgada pelo Banco Central do Brasil para operações de crédito pessoal não consignado de pessoa física era de 6,39% ao mês. Para o Contrato 2, firmado em setembro/2026, utiliza-se provisoriamente a mesma média, por ainda não divulgada a competência setembro/2026 (a atualizar quando publicada) </w:t>
      </w:r>
      <w:r>
        <w:rPr>
          <w:b/>
          <w:highlight w:val="yellow"/>
        </w:rPr>
        <w:t>[conferir série e competência no BACEN na data do ajuizamento]</w:t>
      </w:r>
      <w:r>
        <w:rPr>
          <w:b w:val="0"/>
        </w:rPr>
        <w:t>. O confronto: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CONTRATOS 1 e 2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MERCADO (BACEN — AGO/2026)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Taxa mensal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22,00% a.m. (23,00% sem redutor)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6,39%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Taxa anual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987,22% a.a.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Proporção sobre a média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3,44 vezes (344,29%)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1,00 (referencial)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Régua de 1,5x a média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9,585% a.m.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2,30 vezes acima da régua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Prestação — Contrato 1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R$ 739,15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R$ 386,78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Prestação — Contrato 2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R$ 850,00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R$ 433,15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Prestações somadas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R$ 1.589,15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R$ 819,94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Total — Contrato 1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R$ 8.869,80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R$ 4.641,42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Total — Contrato 2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R$ 10.200,00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R$ 5.197,84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Total consolidado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R$ 19.069,80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R$ 9.839,26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Excesso global (12 parcelas)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R$ 9.230,54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Recalculados os contratos pela taxa média, mantidos o valor financiado e o prazo, pela Tabela Price (Sistema Francês de Amortização), o valor devido ao final seria de </w:t>
      </w:r>
      <w:r>
        <w:rPr>
          <w:b/>
        </w:rPr>
        <w:t>R$ 9.839,26</w:t>
      </w:r>
      <w:r>
        <w:rPr>
          <w:b w:val="0"/>
        </w:rPr>
        <w:t xml:space="preserve"> (incontroverso) — e não R$ 19.069,80. O excesso contratual global alcança </w:t>
      </w:r>
      <w:r>
        <w:rPr>
          <w:b/>
        </w:rPr>
        <w:t>R$ 9.230,54</w:t>
      </w:r>
      <w:r>
        <w:rPr>
          <w:b w:val="0"/>
        </w:rPr>
        <w:t xml:space="preserve"> (R$ 4.228,38 no Contrato 1 e R$ 5.002,16 no Contrato 2), conforme Memória de Cálculo anexa (Doc.). Registre-se, por honestidade técnica, que se o cálculo fosse feito sobre o valor efetivamente liberado (expurgados IOF e TCC), as prestações seriam de R$ 365,52 e R$ 426,92, e o incontroverso, de R$ 4.386,23 e R$ 5.123,09, respectivamente — cenário mais favorável ao Autor que se ressalva. Ressalva-se ainda que, para o recálculo, a série do BACEN referente ao crédito pessoal vinculado a débito em conta registrou taxa média ainda menor no período, o que, se adotada em perícia, ampliará o excesso apurado.</w:t>
      </w:r>
    </w:p>
    <w:p>
      <w:pPr>
        <w:keepNext/>
        <w:spacing w:after="160" w:line="360" w:lineRule="auto" w:before="200"/>
        <w:jc w:val="left"/>
      </w:pPr>
      <w:r>
        <w:rPr>
          <w:b/>
        </w:rPr>
        <w:t>2.3. Do comprometimento da renda e da concessão reiterada de crédito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Os contratos foram firmados em 07/08/2026 e 02/09/2026 — dois empréstimos em 26 dias, o segundo celebrado com o primeiro em plena vigência, sem registro de quitação ou portabilidade (os quadros de "confissão de dívida" de ambos estão zerados, não havendo refinanciamento formal). A Ré, que tem pleno acesso à conta de recebimento do vencimento do Autor, concedeu e debitou crédito reiterado a taxas superiores a 3 vezes a média, comprometendo R$ 1.589,15 mensais de verba de natureza alimentar. A conduta revela o que a Lei 14.181/2021 chama de crédito concedido sem a devida avaliação responsável e conduz ao risco de superendividamento.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Os valores efetivamente vencidos até a data desta petição são: Contrato 1 — parcelas de 31/08/2026 e 30/09/2026; Contrato 2 — parcela de 30/09/2026. Presume-se o débito de todas, </w:t>
      </w:r>
      <w:r>
        <w:rPr>
          <w:b/>
          <w:highlight w:val="yellow"/>
        </w:rPr>
        <w:t>[confirmar com extratos do Banco do Brasil a partir de agosto/2026 e comprovantes das TEDs]</w:t>
      </w:r>
      <w:r>
        <w:rPr>
          <w:b w:val="0"/>
        </w:rPr>
        <w:t>. As demais parcelas são vincendas e constituem projeção.</w:t>
      </w:r>
    </w:p>
    <w:p>
      <w:pPr>
        <w:keepNext/>
        <w:spacing w:after="160" w:line="360" w:lineRule="auto" w:before="200"/>
        <w:jc w:val="left"/>
      </w:pPr>
      <w:r>
        <w:rPr>
          <w:b/>
        </w:rPr>
        <w:t>CAPÍTULO 3 — DA ANÁLISE DOS INSTRUMENTOS CONTRATUAIS</w:t>
      </w:r>
    </w:p>
    <w:p>
      <w:pPr>
        <w:keepNext/>
        <w:spacing w:after="160" w:line="360" w:lineRule="auto" w:before="200"/>
        <w:jc w:val="left"/>
      </w:pPr>
      <w:r>
        <w:rPr>
          <w:b/>
        </w:rPr>
        <w:t>3.1. Do contrato de adesão e da ausência de consentimento qualificado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Os instrumentos anexos são contratos de adesão em estado puro (art. 54, CDC): formulário padronizado, redigido unilateralmente, apresentado pelo aplicativo na lógica binária do "pegar ou largar", com proposta emitida via WhatsApp. A doutrina consumerista — Cláudia Lima Marques à frente — há muito advertiu que, nesses instrumentos, a "vontade" do aderente reduz-se ao ato de aceitar: ele não forma o conteúdo do contrato, apenas se submete a ele. Por isso o legislador deslocou o eixo de proteção para o controle judicial do conteúdo — exatamente o que ora se requer. Não constam dos documentos até agora disponíveis a página de assinatura/aceite eletrônico e a trilha de autenticação, que a Ré deverá exibir.</w:t>
      </w:r>
    </w:p>
    <w:p>
      <w:pPr>
        <w:keepNext/>
        <w:spacing w:after="160" w:line="360" w:lineRule="auto" w:before="200"/>
        <w:jc w:val="left"/>
      </w:pPr>
      <w:r>
        <w:rPr>
          <w:b/>
        </w:rPr>
        <w:t>3.2. Das cláusulas nulas de pleno direito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O art. 51 do CDC comina de nulidade absoluta as cláusulas que estabeleçam obrigações iníquas e abusivas, colocando o consumidor em desvantagem exagerada (inciso IV), presumindo-se exagerada a vantagem excessivamente onerosa (§1.º, III). Além da própria taxa remuneratória, que fixa os encargos em 3,44 vezes a média de mercado, destacam-se as seguintes cláusulas: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a) </w:t>
      </w:r>
      <w:r>
        <w:rPr>
          <w:b/>
        </w:rPr>
        <w:t>Cláusula de renúncia à discussão de abusividade.</w:t>
      </w:r>
      <w:r>
        <w:rPr>
          <w:b w:val="0"/>
        </w:rPr>
        <w:t xml:space="preserve"> Os instrumentos contêm declaração-padrão de que o consumidor conhece a taxa e se compromete a não questioná-la. É renúncia antecipada a direito do consumidor, nula de pleno direito (art. 51, I e IV, CDC), além de incompatível com o acesso à Justiça (art. 5.º, XXXV, CF/88) e com o art. 51, §1.º, CDC.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b) </w:t>
      </w:r>
      <w:r>
        <w:rPr>
          <w:b/>
        </w:rPr>
        <w:t>Redutor de juros condicionado ao débito em conta (cláusula II.3).</w:t>
      </w:r>
      <w:r>
        <w:rPr>
          <w:b w:val="0"/>
        </w:rPr>
        <w:t xml:space="preserve"> A taxa de 22% é "reduzida" em relação aos 23% que incidiriam se o débito fosse cancelado. A cláusula cativa a conta de recebimento de verba salarial, esvazia a liberdade de o Autor gerir sua própria renda e transforma o débito automático em condição para a taxa — já em patamar abusivo — não se agravar ainda mais. A prerrogativa, na prática, serve como garantia reforçada em favor da Ré sobre verba alimentar, em desvantagem exagerada.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c) </w:t>
      </w:r>
      <w:r>
        <w:rPr>
          <w:b/>
        </w:rPr>
        <w:t>Alienação fiduciária de aparelho celular (cláusula V.2).</w:t>
      </w:r>
      <w:r>
        <w:rPr>
          <w:b w:val="0"/>
        </w:rPr>
        <w:t xml:space="preserve"> Constituir garantia fiduciária sobre aparelho móvel de uso pessoal, em mútuo pessoal de pequeno valor, é cláusula potencialmente abusiva: bem de uso essencial, de ínfimo valor de mercado para a Ré e, ao mesmo tempo, instrumento de coerção psicológica do consumidor, que já deu em garantia a própria conta de recebimento do vencimento. A garantia dobrada é vantagem manifestamente excessiva (art. 39, V, CDC).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d) </w:t>
      </w:r>
      <w:r>
        <w:rPr>
          <w:b/>
        </w:rPr>
        <w:t>Tarifa de Cadastro (TCC) de R$ 130,00 (Contrato 1).</w:t>
      </w:r>
      <w:r>
        <w:rPr>
          <w:b w:val="0"/>
        </w:rPr>
        <w:t xml:space="preserve"> O Tema 958/STJ admite a cobrança da tarifa apenas quando prevista de forma clara e quando não demonstrada abusividade e ausência de serviço efetivamente prestado. Aqui, a mesma Ré concedeu o Contrato 2, 26 dias depois, ao mesmo cliente, sem cobrar tarifa alguma — prova eloquente de que o cadastro já existia e de que a cobrança no primeiro contrato é indevida. Requer-se sua declaração de nulidade e restituição em dobro, ainda que o valor tenha sido financiado (pagando, portanto, juros sobre o próprio encargo).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e) </w:t>
      </w:r>
      <w:r>
        <w:rPr>
          <w:b/>
        </w:rPr>
        <w:t>Encargos moratórios e débito em contas de outros bancos (cláusula III.1).</w:t>
      </w:r>
      <w:r>
        <w:rPr>
          <w:b w:val="0"/>
        </w:rPr>
        <w:t xml:space="preserve"> A previsão de multa de 2%, juros de mora de 1% a.m., elevação da taxa para 23% no inadimplemento e débito em contas de outros bancos amplia a cativação de verba alimentar, ultrapassando o equilíbrio contratual. Requer-se sua declaração de nulidade ou, ao menos, a vedação de que a Ré promova débitos em contas distintas daquela expressamente indicada, bem como de que incida taxa de 23% sobre o saldo revisado.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E porque a nulidade é de pleno direito, ela não se convalida pela assinatura, não se sana pelo pagamento das parcelas e não se consolida pelo decurso do tempo: o juiz a pronuncia com efeitos ex tunc, recompondo-se o contrato desde a origem.</w:t>
      </w:r>
    </w:p>
    <w:p>
      <w:pPr>
        <w:keepNext/>
        <w:spacing w:after="160" w:line="360" w:lineRule="auto" w:before="200"/>
        <w:jc w:val="left"/>
      </w:pPr>
      <w:r>
        <w:rPr>
          <w:b/>
        </w:rPr>
        <w:t>3.3. Da violação do dever de informação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O microssistema consumerista construiu, em camadas sucessivas, um regime de informação qualificada para o crédito: o art. 6.º, III, assegura a informação adequada e clara como direito básico; o art. 31 exige que a oferta seja correta, precisa e ostensiva; o art. 52 impõe, no fornecimento de crédito, a informação prévia sobre montante de juros, acréscimos, número e periodicidade das prestações e o total a pagar; e o art. 46 comina a sanção: cláusula cujo sentido e alcance o consumidor não pôde compreender não o obriga.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Pergunte-se: em que momento a Ré informou ao consumidor — em linguagem que uma pessoa leiga compreenda — que devolveria quase o triplo do valor recebido? Em que momento lhe disse que a taxa embutida triplicava a média que o próprio mercado praticava naquele mês? Percentuais impressos em formulário de adesão são tecnicamente verdadeiros e substancialmente mudos: informam o que dizem, ocultam o que significam. O CET do Contrato 2 (22,57% a.m.), por exemplo, é inferior ao do Contrato 1 (23,92% a.m.) e quase igual à taxa nominal apesar da incidência de IOF, incoerência que reforça a necessidade de perícia e a deficiência da informação prestada.</w:t>
      </w:r>
    </w:p>
    <w:p>
      <w:pPr>
        <w:keepNext/>
        <w:spacing w:after="160" w:line="360" w:lineRule="auto" w:before="200"/>
        <w:jc w:val="left"/>
      </w:pPr>
      <w:r>
        <w:rPr>
          <w:b/>
        </w:rPr>
        <w:t>3.4. Da capitalização mensal de juros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divergência entre a taxa mensal pactuada (22%) e a taxa anual declarada (987,22% — quando o duodécuplo de 22% seria 264%) revela, com precisão matemática, a prática de capitalização composta mensal, com diferença de 723,22 pontos percentuais. A Súmula 541/STJ admite a cobrança da taxa efetiva anual quando prevista em patamar superior ao duodécuplo da mensal — mas a admissão pressupõe pactuação válida, e pactuação válida, em ambiente de consumo, é pactuação informada: destacada, clara, apta a fazer o aderente compreender que pagará juros sobre juros. A mera menção de que os juros "poderão ser capitalizados mensalmente" (cláusula II.2), inserida em cláusula de adesão, não traduz pactuação expressa e clara. Ausente a pactuação qualificada, prevalece a vedação histórica ao anatocismo (art. 4.º do Decreto n.º 22.626/33; Súmula 121/STF), impondo-se a readequação dos encargos à taxa média do BACEN, vedada a capitalização em taxa superior à média.</w:t>
      </w:r>
    </w:p>
    <w:p>
      <w:pPr>
        <w:keepNext/>
        <w:spacing w:after="160" w:line="360" w:lineRule="auto" w:before="200"/>
        <w:jc w:val="left"/>
      </w:pPr>
      <w:r>
        <w:rPr>
          <w:b/>
        </w:rPr>
        <w:t>CAPÍTULO 4 — DO DIREITO</w:t>
      </w:r>
    </w:p>
    <w:p>
      <w:pPr>
        <w:keepNext/>
        <w:spacing w:after="160" w:line="360" w:lineRule="auto" w:before="200"/>
        <w:jc w:val="left"/>
      </w:pPr>
      <w:r>
        <w:rPr>
          <w:b/>
        </w:rPr>
        <w:t>4.1. Da aplicação do CDC e da tutela da confiança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aplicabilidade do Código de Defesa do Consumidor às instituições financeiras está duplamente sedimentada — pela Súmula 297/STJ e pelo julgamento da ADI 2.591 pelo Supremo Tribunal Federal. Incidem, pois, a vulnerabilidade presumida (art. 4.º, I), o direito básico à modificação de cláusulas que estabeleçam prestações desproporcionais (art. 6.º, V), a vedação à vantagem manifestamente excessiva (art. 39, V), a nulidade das cláusulas abusivas (art. 51) e a responsabilidade objetiva (art. 14). Quem oferta crédito no mercado de consumo responde pela legítima expectativa que desperta — a de contratar em condições minimamente alinhadas ao padrão do próprio mercado.</w:t>
      </w:r>
    </w:p>
    <w:p>
      <w:pPr>
        <w:keepNext/>
        <w:spacing w:after="160" w:line="360" w:lineRule="auto" w:before="200"/>
        <w:jc w:val="left"/>
      </w:pPr>
      <w:r>
        <w:rPr>
          <w:b/>
        </w:rPr>
        <w:t>4.2. Da relativização do pacta sunt servanda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defesa invocará, como sempre, a santidade dos pactos. O pacta sunt servanda nasceu para proteger a palavra dada entre iguais. Transplantá-lo, sem mediações, para o contrato de adesão massificado é invocar a filosofia da igualdade para consagrar o resultado da desigualdade. O Código Civil já operou a correção sistêmica: a liberdade de contratar exerce-se nos limites da função social do contrato (art. 421) e sob o império da boa-fé objetiva (art. 422). E o CDC conferiu ao consumidor o direito potestativo à modificação das cláusulas desproporcionais (art. 6.º, V) — direito que independe de imprevisão, bastando a desproporção.</w:t>
      </w:r>
    </w:p>
    <w:p>
      <w:pPr>
        <w:keepNext/>
        <w:spacing w:after="160" w:line="360" w:lineRule="auto" w:before="200"/>
        <w:jc w:val="left"/>
      </w:pPr>
      <w:r>
        <w:rPr>
          <w:b/>
        </w:rPr>
        <w:t>4.3. Da abusividade dos juros — o sistema de controle construído pelo STJ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É verdade que as instituições financeiras não se sujeitam à limitação da Lei de Usura (Súmula 596/STF) e que a taxa superior a 12% ao ano não é, por si, abusiva (Súmula 382/STJ). Mas dessas premissas não decorre que suas taxas sejam judicialmente incontroláveis. Decorre o oposto: precisamente porque não há teto legal, o controle é judicial e casuístico, e o seu instrumento de medida foi definido pela Segunda Seção do STJ no REsp 1.061.530/RS (Rel. Min. Nancy Andrighi, recursos repetitivos — Tema 27): a revisão é cabível quando cabalmente demonstrada a abusividade que coloca o consumidor em desvantagem exagerada, aferida em confronto com a taxa média de mercado divulgada pelo Banco Central.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jurisprudência subsequente consolidou a régua operacional do sistema — a presunção de abusividade quando a taxa supera uma vez e meia a média de mercado:</w:t>
      </w:r>
    </w:p>
    <w:p>
      <w:pPr>
        <w:spacing w:after="160" w:line="240" w:lineRule="auto"/>
        <w:ind w:left="2268"/>
        <w:jc w:val="both"/>
      </w:pPr>
      <w:r>
        <w:rPr>
          <w:b w:val="0"/>
          <w:i/>
        </w:rPr>
        <w:t>"EMENTA: APELAÇÃO CÍVEL — AÇÃO REVISIONAL — CONTRATOS DE EMPRÉSTIMO — [...] Embora não haja a limitação dos juros para instituições financeiras, não pode sua taxa ser totalmente liberada, sem nenhum controle efetivo, permitindo-se a limitação dos juros remuneratórios quando superarem uma vez e meia a taxa média de mercado fornecida pelo Banco Central." (TJMG, Apelação Cível 1.0024.07.494175-8/002, 10.ª Câmara Cível, Rel. Des. Maurício Pinto Ferreira, j. 18/12/2018)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Uma vez e meia a média de agosto/2026 seria 9,585% a.m. A Ré pactuou 22% a.m. (23% sem o redutor) — 2,30 vezes a própria régua de abusividade. Não flertou com a fronteira da presunção: pulverizou-a.</w:t>
      </w:r>
    </w:p>
    <w:p>
      <w:pPr>
        <w:keepNext/>
        <w:spacing w:after="160" w:line="360" w:lineRule="auto" w:before="200"/>
        <w:jc w:val="left"/>
      </w:pPr>
      <w:r>
        <w:rPr>
          <w:b/>
        </w:rPr>
        <w:t>4.4. Da ausência de risco que justifique o spread — refutação antecipada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Antecipe-se a defesa de estilo: "a taxa remunera o risco". O argumento pressupõe risco — e aqui o risco é mitigado ao extremo. A Ré detém, durante toda a execução contratual, acesso direto à conta em que o Autor recebe seu vencimento de servidor público efetivo, debitando as parcelas por autorização contratual, e ainda reteve em garantia aparelho celular (alienação fiduciária) e a prerrogativa de debitar contas de outros bancos. A taxa média do BACEN já embute o risco médio das operações da espécie. Cobrar mais que o triplo dessa média de quem paga mediante débito automático em conta de remuneração estável é precificar um risco que a própria Ré eliminou — e lucro extraído de risco eliminado tem nome no CDC: vantagem manifestamente excessiva (art. 39, V). Os dados de captação, inadimplência de carteira e composição de spread pertencem exclusivamente à Ré; se pretende justificar a taxa, que abra os números.</w:t>
      </w:r>
    </w:p>
    <w:p>
      <w:pPr>
        <w:keepNext/>
        <w:spacing w:after="160" w:line="360" w:lineRule="auto" w:before="200"/>
        <w:jc w:val="left"/>
      </w:pPr>
      <w:r>
        <w:rPr>
          <w:b/>
        </w:rPr>
        <w:t>4.5. Do distinguishing frente ao Tema 1378/STJ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Registre-se, por lealdade processual, que a Segunda Seção do STJ afetou ao rito dos repetitivos o Tema 1378 (Rel. Min. Antonio Carlos Ferreira; paradigmas REsp 2.227.276/AL, 2.227.844/RS, 2.227.280/PR e 2.227.287/MG), para definir se a taxa média do BACEN basta como fundamento exclusivo da aferição de abusividade dos juros remuneratórios. Antecipar o tema não fragiliza esta causa — demonstra que ela sobrevive a qualquer desfecho do repetitivo. A suspensão determinada na afetação alcança recursos especiais e agravos em recurso especial (art. 1.037, II, CPC), não o primeiro grau.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Quanto ao mérito, o distinguishing é triplo. Primeiro: esta inicial não usa a taxa média como fundamento exclusivo, e sim como referencial (função que o Tema 27 lhe atribuiu), demonstrando a desvantagem exagerada pelo conjunto das circunstâncias: servidor público com vencimento depositado em conta objeto de débito automático; devolução de 2,93 vezes o capital recebido; dois contratos em 26 dias, sem quitação do primeiro; cláusulas de renúncia à discussão de abusividade, alienação fiduciária de celular, tarifa de cadastro e redutor condicionado ao débito em conta; contratação a distância, por adesão. Segundo: a zona de incerteza que motivou a afetação é a das taxas moderadamente acima da média; aqui a taxa é 3,44 vezes a média — muito além da zona de incerteza. Terceiro: quanto mais "peculiaridades da contratação" o STJ exigir, mais forte esta causa fica, porque estão todas documentadas nos autos, e todas contra a fornecedora.</w:t>
      </w:r>
    </w:p>
    <w:p>
      <w:pPr>
        <w:keepNext/>
        <w:spacing w:after="160" w:line="360" w:lineRule="auto" w:before="200"/>
        <w:jc w:val="left"/>
      </w:pPr>
      <w:r>
        <w:rPr>
          <w:b/>
        </w:rPr>
        <w:t>4.6. Do mínimo existencial e do superendividamento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O vencimento do servidor público é verba de natureza alimentar (art. 833, IV, CPC). Comprometer R$ 1.589,15 por mês dessa verba, mediante débito direto, com dois contratos celebrados em 26 dias, compromete o mínimo existencial, projeção econômica da dignidade da pessoa humana (art. 1.º, III, CF/88). A Lei 14.181/2021 acrescentou ao CDC o dever de prevenir o superendividamento (art. 4.º, X; art. 6.º, XI e XII; art. 54-A e seguintes): a concessão de crédito exige avaliação responsável das condições do consumidor (art. 54-D). A Ré, ao conceder o segundo empréstimo com o primeiro em plena vigência, sem qualquer registro de quitação ou portabilidade, e a taxas que somam encargos superiores a 190% do capital em um ano, violou os deveres de lealdade e informação, o que reforça a abusividade e a necessidade de limitação dos descontos. </w:t>
      </w:r>
      <w:r>
        <w:rPr>
          <w:b/>
          <w:highlight w:val="yellow"/>
        </w:rPr>
        <w:t>[Juntar contracheque para quadro do mínimo existencial, se possível]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Frise-se o que se pede e o que não se pede: não se pretende calote nem tabelamento. Pretende-se que a Ré receba exatamente o que o mercado receberia — capital corrigido e remunerado pela taxa média oficial. A pretensão conserva o contrato e restaura o equilíbrio.</w:t>
      </w:r>
    </w:p>
    <w:p>
      <w:pPr>
        <w:keepNext/>
        <w:spacing w:after="160" w:line="360" w:lineRule="auto" w:before="200"/>
        <w:jc w:val="left"/>
      </w:pPr>
      <w:r>
        <w:rPr>
          <w:b/>
        </w:rPr>
        <w:t>4.7. Da inversão do ônus da prova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Ré é titular das informações técnicas da operação — planilhas de evolução da dívida, composição de encargos, trilha de assinatura eletrônica, comprovantes das TEDs, dados de captação. A verossimilhança das alegações está pré-constituída pelos contratos confrontados com a série do BACEN; a hipossuficiência decorre da natureza da relação. Impõe-se a inversão do ônus da prova (art. 6.º, VIII, CDC), com a exibição, pela Ré, dos instrumentos integrais e da trilha de assinatura de ambos os contratos.</w:t>
      </w:r>
    </w:p>
    <w:p>
      <w:pPr>
        <w:keepNext/>
        <w:spacing w:after="160" w:line="360" w:lineRule="auto" w:before="200"/>
        <w:jc w:val="left"/>
      </w:pPr>
      <w:r>
        <w:rPr>
          <w:b/>
        </w:rPr>
        <w:t>4.8. Da tutela de urgência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probabilidade do direito está pré-constituída: contratos nos autos, série do BACEN nos autos, taxa de 3,44 vezes a média demonstrada por aritmética elementar. O perigo de dano é contínuo e se renova mensalmente: a cada vencimento, R$ 769,21 (R$ 352,37 + R$ 416,85) são extraídos do vencimento do Autor acima do valor revisado — sobre verba alimentar —, e o que se subtrai da subsistência não se repara depois com correção monetária. Há, ainda, o risco de agravamento: a cláusula III.1 autoriza a Ré a debitar contas de outros bancos e a elevar a taxa a 23%.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Requer-se, pois, tutela de urgência (art. 300, CPC) para </w:t>
      </w:r>
      <w:r>
        <w:rPr>
          <w:b/>
        </w:rPr>
        <w:t>limitar os descontos mensais, relativos aos dois contratos, ao valor consolidado revisado de R$ 819,94</w:t>
      </w:r>
      <w:r>
        <w:rPr>
          <w:b w:val="0"/>
        </w:rPr>
        <w:t xml:space="preserve"> (referência: R$ 386,78 para o Contrato 1 e R$ 433,15 para o Contrato 2), incidindo sobre as parcelas vincendas a partir de 30/10/2026 (10 parcelas do Contrato 1 e 11 do Contrato 2), sem inscrição do nome do Autor em cadastros de inadimplentes e sem elevação de taxa ou débito em outras contas, sob pena de multa diária de R$ 500,00. Não há risco de irreversibilidade: os valores limitados serão depositados/pagos mensalmente e a diferença, se improcedente a ação, poderá ser cobrada pela Ré.</w:t>
      </w:r>
    </w:p>
    <w:p>
      <w:pPr>
        <w:keepNext/>
        <w:spacing w:after="160" w:line="360" w:lineRule="auto" w:before="200"/>
        <w:jc w:val="left"/>
      </w:pPr>
      <w:r>
        <w:rPr>
          <w:b/>
        </w:rPr>
        <w:t>CAPÍTULO 5 — DOS DANOS</w:t>
      </w:r>
    </w:p>
    <w:p>
      <w:pPr>
        <w:keepNext/>
        <w:spacing w:after="160" w:line="360" w:lineRule="auto" w:before="200"/>
        <w:jc w:val="left"/>
      </w:pPr>
      <w:r>
        <w:rPr>
          <w:b/>
        </w:rPr>
        <w:t>5.1. Da repetição do indébito em dobro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Cada parcela paga carrega excesso sem causa (R$ 352,37 no Contrato 1 e R$ 416,85 no Contrato 2). A restituição deve ser dobrada, na forma do art. 42, parágrafo único, do CDC, e a Corte Especial do STJ fixou tese objetiva:</w:t>
      </w:r>
    </w:p>
    <w:p>
      <w:pPr>
        <w:spacing w:after="160" w:line="240" w:lineRule="auto"/>
        <w:ind w:left="2268"/>
        <w:jc w:val="both"/>
      </w:pPr>
      <w:r>
        <w:rPr>
          <w:b w:val="0"/>
          <w:i/>
        </w:rPr>
        <w:t>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Cobrar mais que o triplo da taxa média, mediante contrato de adesão a distância, com débito automático em conta de recebimento de vencimento, é conduta objetivamente contrária à boa-fé. O quadro do indébito é o seguinte: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QUADRO DO INDÉBITO</w:t>
            </w:r>
          </w:p>
        </w:tc>
        <w:tc>
          <w:tcPr>
            <w:tcW w:type="dxa" w:w="2209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CONTRATO 1</w:t>
            </w:r>
          </w:p>
        </w:tc>
        <w:tc>
          <w:tcPr>
            <w:tcW w:type="dxa" w:w="2209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CONTRATO 2</w:t>
            </w:r>
          </w:p>
        </w:tc>
        <w:tc>
          <w:tcPr>
            <w:tcW w:type="dxa" w:w="2209"/>
            <w:shd w:val="clear" w:fill="D9D9D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CONSOLIDADO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Excesso mensal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R$ 352,37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R$ 416,85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R$ 769,22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Prejuízo simples REALIZADO (parcelas vencidas até 07/10/2026)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R$ 704,73 (2 parc.)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R$ 416,85 (1 parc.)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R$ 1.121,58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Repetição em dobro REALIZADA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R$ 1.409,46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R$ 833,69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R$ 2.243,15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Excesso nominal total (12 parcelas)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R$ 4.228,38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R$ 5.002,16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R$ 9.230,54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Repetição em dobro PROJETADA (12 parcelas pagas)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R$ 8.456,76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R$ 10.004,31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R$ 18.461,07</w:t>
            </w:r>
          </w:p>
        </w:tc>
      </w:tr>
    </w:tbl>
    <w:p>
      <w:pPr>
        <w:spacing w:after="80"/>
      </w:pPr>
    </w:p>
    <w:p>
      <w:pPr>
        <w:spacing w:after="160" w:line="360" w:lineRule="auto"/>
        <w:ind w:firstLine="709"/>
        <w:jc w:val="both"/>
      </w:pPr>
      <w:r>
        <w:rPr>
          <w:b w:val="0"/>
        </w:rPr>
        <w:t>Os valores "realizados" referem-se às parcelas vencidas e presumidamente debitadas até 07/10/2026; os valores "projetados" dependem do pagamento das parcelas vincendas e, portanto, constituem projeção a confirmar, a ser apurada em liquidação. Requer-se a devolução em dobro de todos os valores pagos acima do recálculo pela taxa média, com correção monetária desde cada desembolso (Súmula 43/STJ; IPCA) e juros de mora desde a citação.</w:t>
      </w:r>
    </w:p>
    <w:p>
      <w:pPr>
        <w:keepNext/>
        <w:spacing w:after="160" w:line="360" w:lineRule="auto" w:before="200"/>
        <w:jc w:val="left"/>
      </w:pPr>
      <w:r>
        <w:rPr>
          <w:b/>
        </w:rPr>
        <w:t>5.2. Do dano moral — as três dimensões de uma mesma lesão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O dano moral desta causa é um só — a lesão à dignidade do consumidor —, mas se manifesta em três dimensões que devem ser apreciadas conjuntamente na fixação do quantum, e não como pedidos fracionados (art. 944 do Código Civil).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primeira dimensão é a da exposição ao abuso. Submeter servidor público a dois contratos que, somados, devolvem 2,93 vezes o valor recebido, com débito automático sobre a conta do próprio vencimento, concedidos em sequência sem qualquer cautela, não é aborrecimento cotidiano — é abuso de posição contratual. A lesão é in re ipsa: emerge da gravidade objetiva da conduta.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segunda dimensão é a do tempo subtraído — o desvio produtivo do consumidor, na formulação de Marcos Dessaune acolhida pelo Superior Tribunal de Justiça como aspecto indenizável da lesão extrapatrimonial. O Autor foi forçado a consumir tempo de vida em diligências, reunião de documentos e litígio judicial para desfazer abuso que a Ré criou e do qual lucrou.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>A terceira dimensão é a da privação material continuada. O desconto mensal de R$ 1.589,15, quando o devido seria R$ 819,94, subtrai do Autor, mês após mês, R$ 769,21 de verba alimentar, cativa a conta de recebimento do vencimento e afeta o mínimo existencial (art. 1.º, III, CF/88), integrando, como circunstância agravante, a extensão da lesão.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Do quantum. Adota-se o método bifásico do STJ: o valor básico da jurisprudência para cobranças bancárias abusivas, ajustado pelas circunstâncias concretas — a taxa de 3,44 vezes a média, a reiteração do crédito em 26 dias, a cativação da conta de vencimento, a alienação fiduciária de celular e o porte econômico da Ré. A convergência das três dimensões justifica a fixação da indenização em </w:t>
      </w:r>
      <w:r>
        <w:rPr>
          <w:b/>
        </w:rPr>
        <w:t>R$ 10.000,00 (dez mil reais)</w:t>
      </w:r>
      <w:r>
        <w:rPr>
          <w:b w:val="0"/>
        </w:rPr>
        <w:t>.</w:t>
      </w:r>
    </w:p>
    <w:p>
      <w:pPr>
        <w:keepNext/>
        <w:spacing w:after="160" w:line="360" w:lineRule="auto" w:before="200"/>
        <w:jc w:val="left"/>
      </w:pPr>
      <w:r>
        <w:rPr>
          <w:b/>
        </w:rPr>
        <w:t>CAPÍTULO 6 — DOS PEDIDOS</w:t>
      </w:r>
    </w:p>
    <w:p>
      <w:pPr>
        <w:spacing w:after="160" w:line="360" w:lineRule="auto"/>
        <w:jc w:val="both"/>
      </w:pPr>
      <w:r>
        <w:rPr>
          <w:b w:val="0"/>
        </w:rPr>
        <w:t>Ante o exposto, requer-se:</w:t>
      </w:r>
    </w:p>
    <w:p>
      <w:pPr>
        <w:spacing w:after="160" w:line="360" w:lineRule="auto"/>
        <w:jc w:val="both"/>
      </w:pPr>
      <w:r>
        <w:rPr>
          <w:b w:val="0"/>
        </w:rPr>
        <w:t>a) a concessão da gratuidade da justiça (arts. 98 e 99, CPC);</w:t>
      </w:r>
    </w:p>
    <w:p>
      <w:pPr>
        <w:spacing w:after="160" w:line="360" w:lineRule="auto"/>
        <w:jc w:val="both"/>
      </w:pPr>
      <w:r>
        <w:rPr>
          <w:b w:val="0"/>
        </w:rPr>
        <w:t>b) a não designação de audiência de conciliação (art. 334, §5.º, CPC);</w:t>
      </w:r>
    </w:p>
    <w:p>
      <w:pPr>
        <w:spacing w:after="160" w:line="360" w:lineRule="auto"/>
        <w:jc w:val="both"/>
      </w:pPr>
      <w:r>
        <w:rPr>
          <w:b w:val="0"/>
        </w:rPr>
        <w:t xml:space="preserve">c) a concessão de TUTELA DE URGÊNCIA para limitar os descontos mensais dos Contratos n.º 011960691315 e n.º 043520011448, a partir das parcelas vincendas, ao valor consolidado revisado de </w:t>
      </w:r>
      <w:r>
        <w:rPr>
          <w:b/>
        </w:rPr>
        <w:t>R$ 819,94</w:t>
      </w:r>
      <w:r>
        <w:rPr>
          <w:b w:val="0"/>
        </w:rPr>
        <w:t xml:space="preserve"> (R$ 386,78 e R$ 433,15, respectivamente), vedadas a inscrição do nome do Autor em cadastros de inadimplentes, a elevação da taxa a 23% e o débito em contas de outros bancos, sob pena de multa diária de R$ 500,00;</w:t>
      </w:r>
    </w:p>
    <w:p>
      <w:pPr>
        <w:spacing w:after="160" w:line="360" w:lineRule="auto"/>
        <w:jc w:val="both"/>
      </w:pPr>
      <w:r>
        <w:rPr>
          <w:b w:val="0"/>
        </w:rPr>
        <w:t>d) a inversão do ônus da prova (art. 6.º, VIII, CDC), com a determinação de que a Ré exiba os instrumentos integrais, a trilha de assinatura eletrônica e os comprovantes das TEDs de ambos os contratos;</w:t>
      </w:r>
    </w:p>
    <w:p>
      <w:pPr>
        <w:spacing w:after="160" w:line="360" w:lineRule="auto"/>
        <w:jc w:val="both"/>
      </w:pPr>
      <w:r>
        <w:rPr>
          <w:b w:val="0"/>
        </w:rPr>
        <w:t>e) a citação da Ré, sob pena de revelia (art. 344, CPC);</w:t>
      </w:r>
    </w:p>
    <w:p>
      <w:pPr>
        <w:spacing w:after="160" w:line="360" w:lineRule="auto"/>
        <w:jc w:val="both"/>
      </w:pPr>
      <w:r>
        <w:rPr>
          <w:b w:val="0"/>
        </w:rPr>
        <w:t>f) a declaração de nulidade das cláusulas abusivas dos contratos de adesão (art. 51, I, IV e §1.º, III, CDC), em especial: (i) a cláusula em que o consumidor se compromete a não questionar a abusividade; (ii) a cláusula que condiciona o redutor de juros ao débito em conta (cláusula II.3); (iii) a cláusula de alienação fiduciária de aparelho celular (cláusula V.2); (iv) a cobrança da Tarifa de Cadastro de R$ 130,00 no Contrato n.º 011960691315; e (v) a cláusula de encargos moratórios e débito em contas de outros bancos (cláusula III.1);</w:t>
      </w:r>
    </w:p>
    <w:p>
      <w:pPr>
        <w:spacing w:after="160" w:line="360" w:lineRule="auto"/>
        <w:jc w:val="both"/>
      </w:pPr>
      <w:r>
        <w:rPr>
          <w:b w:val="0"/>
        </w:rPr>
        <w:t>g) a declaração de abusividade da taxa de 22% a.m. (987,22% a.a.) e a revisão de ambos os contratos, readequando-se os encargos à taxa média divulgada pelo BACEN para a modalidade e período (6,39% a.m., competência agosto/2026, a atualizar), pelo Sistema Francês de Amortização, vedada a capitalização em taxa superior à média, com parcelas recalculadas em R$ 386,78 (Contrato 1) e R$ 433,15 (Contrato 2), totalizando R$ 819,94;</w:t>
      </w:r>
    </w:p>
    <w:p>
      <w:pPr>
        <w:spacing w:after="160" w:line="360" w:lineRule="auto"/>
        <w:jc w:val="both"/>
      </w:pPr>
      <w:r>
        <w:rPr>
          <w:b w:val="0"/>
        </w:rPr>
        <w:t>h) a condenação da Ré à repetição em dobro do indébito — todos os valores pagos acima do recálculo, que, sobre as parcelas já vencidas, alcança R$ 2.243,15 (dobro de R$ 1.121,58) e, projetado para as 12 parcelas de cada contrato, R$ 18.461,07 (dobro do excesso de R$ 9.230,54) —, a ser apurada em liquidação, com correção monetária desde cada desembolso e juros de mora desde a citação (art. 42, parágrafo único, CDC; EAREsp 676.608/RS), incluída a restituição em dobro da Tarifa de Cadastro de R$ 130,00;</w:t>
      </w:r>
    </w:p>
    <w:p>
      <w:pPr>
        <w:spacing w:after="160" w:line="360" w:lineRule="auto"/>
        <w:jc w:val="both"/>
      </w:pPr>
      <w:r>
        <w:rPr>
          <w:b w:val="0"/>
        </w:rPr>
        <w:t>i) a condenação da Ré ao pagamento de indenização por dano moral, no valor de R$ 10.000,00 (dez mil reais), considerando-se, na fixação do quantum, todas as dimensões da lesão demonstradas;</w:t>
      </w:r>
    </w:p>
    <w:p>
      <w:pPr>
        <w:spacing w:after="160" w:line="360" w:lineRule="auto"/>
        <w:jc w:val="both"/>
      </w:pPr>
      <w:r>
        <w:rPr>
          <w:b w:val="0"/>
        </w:rPr>
        <w:t>j) a declaração de que a concessão reiterada de crédito em 26 dias, com comprometimento de R$ 1.589,15 mensais da verba alimentar do Autor, viola os deveres de avaliação responsável e de prevenção ao superendividamento (Lei 14.181/2021), para fins de reforço da abusividade e fixação do dano moral;</w:t>
      </w:r>
    </w:p>
    <w:p>
      <w:pPr>
        <w:spacing w:after="160" w:line="360" w:lineRule="auto"/>
        <w:jc w:val="both"/>
      </w:pPr>
      <w:r>
        <w:rPr>
          <w:b w:val="0"/>
        </w:rPr>
        <w:t>k) custas e honorários advocatícios de 20% sobre a condenação (art. 85, §2.º, CPC);</w:t>
      </w:r>
    </w:p>
    <w:p>
      <w:pPr>
        <w:spacing w:after="160" w:line="360" w:lineRule="auto"/>
        <w:jc w:val="both"/>
      </w:pPr>
      <w:r>
        <w:rPr>
          <w:b w:val="0"/>
        </w:rPr>
        <w:t>l) a produção de todas as provas admitidas, especialmente documental, pericial contábil e depoimento pessoal do representante da Ré, sob pena de confissão.</w:t>
      </w:r>
    </w:p>
    <w:p>
      <w:pPr>
        <w:spacing w:after="160" w:line="360" w:lineRule="auto"/>
        <w:ind w:firstLine="709"/>
        <w:jc w:val="both"/>
      </w:pPr>
      <w:r>
        <w:rPr>
          <w:b w:val="0"/>
        </w:rPr>
        <w:t xml:space="preserve">Dá-se à causa o valor de </w:t>
      </w:r>
      <w:r>
        <w:rPr>
          <w:b/>
        </w:rPr>
        <w:t>R$ 28.461,07</w:t>
      </w:r>
      <w:r>
        <w:rPr>
          <w:b w:val="0"/>
        </w:rPr>
        <w:t xml:space="preserve"> (vinte e oito mil, quatrocentos e sessenta e um reais e sete centavos), correspondente à repetição em dobro projetada (R$ 18.461,07) acrescida do dano moral (R$ 10.000,00). Ressalta-se, com transparência, que, considerado apenas o prejuízo já realizado (parcelas vencidas até 07/10/2026), a repetição em dobro é de R$ 2.243,15 (valor a confirmar com extratos), e que as parcelas vincendas constituem projeção.</w:t>
      </w:r>
    </w:p>
    <w:p>
      <w:pPr>
        <w:keepNext/>
        <w:spacing w:after="160" w:line="360" w:lineRule="auto" w:before="200"/>
        <w:jc w:val="left"/>
      </w:pPr>
      <w:r>
        <w:rPr>
          <w:b/>
        </w:rPr>
        <w:t>DOCUMENTOS QUE ACOMPANHAM A PETIÇÃO</w:t>
      </w:r>
    </w:p>
    <w:p>
      <w:pPr>
        <w:spacing w:after="40" w:line="360" w:lineRule="auto"/>
        <w:jc w:val="both"/>
      </w:pPr>
      <w:r>
        <w:rPr>
          <w:b w:val="0"/>
        </w:rPr>
        <w:t>1. Procuração e declaração de hipossuficiência;</w:t>
      </w:r>
    </w:p>
    <w:p>
      <w:pPr>
        <w:spacing w:after="40" w:line="360" w:lineRule="auto"/>
        <w:jc w:val="both"/>
      </w:pPr>
      <w:r>
        <w:rPr>
          <w:b w:val="0"/>
        </w:rPr>
        <w:t xml:space="preserve">2. RG </w:t>
      </w:r>
      <w:r>
        <w:rPr>
          <w:b/>
          <w:highlight w:val="yellow"/>
        </w:rPr>
        <w:t>[JUNTAR — não consta na pasta; consta a CNH digital]</w:t>
      </w:r>
      <w:r>
        <w:rPr>
          <w:b w:val="0"/>
        </w:rPr>
        <w:t xml:space="preserve"> e CPF; CNH digital;</w:t>
      </w:r>
    </w:p>
    <w:p>
      <w:pPr>
        <w:spacing w:after="40" w:line="360" w:lineRule="auto"/>
        <w:jc w:val="both"/>
      </w:pPr>
      <w:r>
        <w:rPr>
          <w:b w:val="0"/>
        </w:rPr>
        <w:t>3. Comprovante de residência (fatura TIM, setembro/2026);</w:t>
      </w:r>
    </w:p>
    <w:p>
      <w:pPr>
        <w:spacing w:after="40" w:line="360" w:lineRule="auto"/>
        <w:jc w:val="both"/>
      </w:pPr>
      <w:r>
        <w:rPr>
          <w:b w:val="0"/>
        </w:rPr>
        <w:t>4. Contratos n.º 011960691315 e n.º 043520011448 (capturas de tela do portal da Ré);</w:t>
      </w:r>
    </w:p>
    <w:p>
      <w:pPr>
        <w:spacing w:after="40" w:line="360" w:lineRule="auto"/>
        <w:jc w:val="both"/>
      </w:pPr>
      <w:r>
        <w:rPr>
          <w:b w:val="0"/>
        </w:rPr>
        <w:t>5. Memória de Cálculo pericial unificada (Doc.);</w:t>
      </w:r>
    </w:p>
    <w:p>
      <w:pPr>
        <w:spacing w:after="40" w:line="360" w:lineRule="auto"/>
        <w:jc w:val="both"/>
      </w:pPr>
      <w:r>
        <w:rPr>
          <w:b w:val="0"/>
        </w:rPr>
        <w:t xml:space="preserve">6. Extratos do Banco do Brasil (ag. 8081-0, c/c 32387-X) a partir de agosto/2026 e comprovantes das TEDs </w:t>
      </w:r>
      <w:r>
        <w:rPr>
          <w:b/>
          <w:highlight w:val="yellow"/>
        </w:rPr>
        <w:t>[JUNTAR — pendente]</w:t>
      </w:r>
      <w:r>
        <w:rPr>
          <w:b w:val="0"/>
        </w:rPr>
        <w:t>;</w:t>
      </w:r>
    </w:p>
    <w:p>
      <w:pPr>
        <w:spacing w:after="40" w:line="360" w:lineRule="auto"/>
        <w:jc w:val="both"/>
      </w:pPr>
      <w:r>
        <w:rPr>
          <w:b w:val="0"/>
        </w:rPr>
        <w:t xml:space="preserve">7. Contracheque </w:t>
      </w:r>
      <w:r>
        <w:rPr>
          <w:b/>
          <w:highlight w:val="yellow"/>
        </w:rPr>
        <w:t>[JUNTAR, se disponível]</w:t>
      </w:r>
      <w:r>
        <w:rPr>
          <w:b w:val="0"/>
        </w:rPr>
        <w:t>.</w:t>
      </w:r>
    </w:p>
    <w:p>
      <w:pPr>
        <w:spacing w:after="160" w:line="360" w:lineRule="auto"/>
        <w:ind w:firstLine="709"/>
        <w:jc w:val="both"/>
      </w:pPr>
    </w:p>
    <w:p>
      <w:pPr>
        <w:spacing w:after="40" w:line="360" w:lineRule="auto"/>
        <w:jc w:val="left"/>
      </w:pPr>
      <w:r>
        <w:rPr>
          <w:b w:val="0"/>
        </w:rPr>
        <w:t>Nestes termos,</w:t>
      </w:r>
    </w:p>
    <w:p>
      <w:pPr>
        <w:spacing w:after="160" w:line="360" w:lineRule="auto"/>
        <w:jc w:val="left"/>
      </w:pPr>
      <w:r>
        <w:rPr>
          <w:b w:val="0"/>
        </w:rPr>
        <w:t>Pede deferimento.</w:t>
      </w:r>
    </w:p>
    <w:p>
      <w:pPr>
        <w:spacing w:after="160" w:line="360" w:lineRule="auto"/>
        <w:jc w:val="left"/>
      </w:pPr>
      <w:r>
        <w:rPr>
          <w:b w:val="0"/>
        </w:rPr>
        <w:t>Salvador/BA, 7 de outubro de 2026.</w:t>
      </w:r>
    </w:p>
    <w:p>
      <w:pPr>
        <w:spacing w:after="160" w:line="360" w:lineRule="auto"/>
        <w:ind w:firstLine="709"/>
        <w:jc w:val="both"/>
      </w:pPr>
    </w:p>
    <w:p>
      <w:pPr>
        <w:spacing w:after="0" w:line="360" w:lineRule="auto"/>
        <w:jc w:val="center"/>
      </w:pPr>
      <w:r>
        <w:rPr>
          <w:b w:val="0"/>
        </w:rPr>
        <w:t>_____________________________________</w:t>
      </w:r>
    </w:p>
    <w:p>
      <w:pPr>
        <w:spacing w:after="0" w:line="360" w:lineRule="auto"/>
        <w:jc w:val="center"/>
      </w:pPr>
      <w:r>
        <w:rPr>
          <w:b/>
        </w:rPr>
        <w:t>CLEYTON DA SILVA BARBOSA</w:t>
      </w:r>
    </w:p>
    <w:p>
      <w:pPr>
        <w:spacing w:after="160" w:line="360" w:lineRule="auto"/>
        <w:jc w:val="center"/>
      </w:pPr>
      <w:r>
        <w:rPr>
          <w:b/>
        </w:rPr>
        <w:t>OAB/BA 92.148</w:t>
      </w:r>
    </w:p>
    <w:sectPr w:rsidR="00FC693F" w:rsidRPr="0006063C" w:rsidSect="00034616">
      <w:pgSz w:w="12240" w:h="15840"/>
      <w:pgMar w:top="1701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