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60" w:lineRule="auto"/>
        <w:jc w:val="left"/>
      </w:pPr>
      <w:r>
        <w:rPr>
          <w:rFonts w:ascii="Times New Roman" w:hAnsi="Times New Roman"/>
          <w:b/>
          <w:sz w:val="24"/>
        </w:rPr>
        <w:t>AO JUÍZO DE DIREITO DA ___ª VARA CÍVEL DA COMARCA DE SALVADOR/BA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/>
          <w:sz w:val="24"/>
        </w:rPr>
        <w:t>EMENTA:</w:t>
      </w:r>
      <w:r>
        <w:rPr>
          <w:rFonts w:ascii="Times New Roman" w:hAnsi="Times New Roman"/>
          <w:b w:val="0"/>
          <w:sz w:val="24"/>
        </w:rPr>
        <w:t xml:space="preserve"> DIREITO DO CONSUMIDOR E DIREITO BANCÁRIO. AÇÃO REVISIONAL COM PEDIDO INCIDENTAL DE EXIBIÇÃO DE CONTRATO (ARTS. 396 A 400, CPC). DESNECESSIDADE DE REQUERIMENTO ADMINISTRATIVO PRÉVIO. PRORROGAÇÃO AUTOMÁTICA DE EMPRÉSTIMO (CONTRATO 992000820936, QUE ROLOU O SALDO DO CONTRATO 510023886) SEM LIBERAÇÃO DE NOVO CRÉDITO, À TAXA DE 14,80% a.m. (423,96% a.a.), 2,32 VEZES A TAXA MÉDIA DE MERCADO (6,39% a.m.). BENEFICIÁRIA DO BENEFÍCIO DE PRESTAÇÃO CONTINUADA (LOAS). SÚMULA 530/STJ: SEM O CONTRATO NOS AUTOS, APLICA-SE A TAXA MÉDIA. ART. 400, I, CPC: RECUSA DE EXIBIÇÃO GERA PRESUNÇÃO DE VERACIDADE. DISTINGUISHING FRENTE AO TEMA 1378/STJ. DANO MORAL ÚNICO, AFERIDO EM TRÊS DIMENSÕES. TUTELA DE URGÊNCIA. PROCEDÊNCIA.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/>
          <w:sz w:val="24"/>
        </w:rPr>
        <w:t>Consulta pública da taxa média de juros: Banco Central do Brasil (Sistema Gerenciador de Séries Temporais), www3.bcb.gov.br/sgspub/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>ROSEMARY DE JESUS SANTOS</w:t>
      </w:r>
      <w:r>
        <w:rPr>
          <w:rFonts w:ascii="Times New Roman" w:hAnsi="Times New Roman"/>
          <w:b w:val="0"/>
          <w:sz w:val="24"/>
        </w:rPr>
        <w:t xml:space="preserve">, brasileira, solteira, </w:t>
      </w:r>
      <w:r>
        <w:rPr>
          <w:rFonts w:ascii="Times New Roman" w:hAnsi="Times New Roman"/>
          <w:b/>
          <w:sz w:val="24"/>
          <w:highlight w:val="yellow"/>
        </w:rPr>
        <w:t>[PREENCHER: profissão/ocupação]</w:t>
      </w:r>
      <w:r>
        <w:rPr>
          <w:rFonts w:ascii="Times New Roman" w:hAnsi="Times New Roman"/>
          <w:b w:val="0"/>
          <w:sz w:val="24"/>
        </w:rPr>
        <w:t>, beneficiária do Benefício de Prestação Continuada (LOAS), portadora do RG n.º 00.948.672-0 (SSP/SE) e inscrita no CPF sob o n.º 588.602.315-15, nascida em 08/03/1971, residente e domiciliada na Rua B, n.º 73, Bairro Soledade, Aracaju/SE, CEP 49000-000, sem endereço eletrônico, vem, mui respeitosamente, perante Vossa Excelência, por intermédio de seu advogado que esta subscreve (procuração anexa), propor a presente</w:t>
      </w:r>
    </w:p>
    <w:p>
      <w:pPr>
        <w:spacing w:after="120" w:line="360" w:lineRule="auto"/>
        <w:jc w:val="center"/>
      </w:pPr>
      <w:r>
        <w:rPr>
          <w:rFonts w:ascii="Times New Roman" w:hAnsi="Times New Roman"/>
          <w:b/>
          <w:sz w:val="24"/>
        </w:rPr>
        <w:t>AÇÃO REVISIONAL DE CONTRATO C/C PEDIDO INCIDENTAL DE EXIBIÇÃO DE CONTRATO, TUTELA DE URGÊNCIA E INDENIZAÇÃO POR DANOS MORAIS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em face de </w:t>
      </w:r>
      <w:r>
        <w:rPr>
          <w:rFonts w:ascii="Times New Roman" w:hAnsi="Times New Roman"/>
          <w:b/>
          <w:sz w:val="24"/>
        </w:rPr>
        <w:t>BANCO MERCANTIL DO BRASIL S/A</w:t>
      </w:r>
      <w:r>
        <w:rPr>
          <w:rFonts w:ascii="Times New Roman" w:hAnsi="Times New Roman"/>
          <w:b w:val="0"/>
          <w:sz w:val="24"/>
        </w:rPr>
        <w:t>, pessoa jurídica de direito privado, inscrita no CNPJ sob o n.º 17.184.037/0001-10, com sede na Avenida do Contorno, n.º 5800, Andares 11 a 15, Savassi, Belo Horizonte/MG, CEP 30110-042, e-mail para intimações desconhecido, pelos fatos e fundamentos a seguir expostos: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I — DAS PRELIMINARES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I.1. Da gratuidade da justiça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parte Autora é beneficiária do Benefício de Prestação Continuada (LOAS) — Benefício n.º 721.210.257-2, espécie "Prestação Continuada à Pessoa com Deficiência" —, cuja renda mensal corresponde a um salário mínimo (R$ 1.621,00, segundo o histórico do INSS de 02/07/2026), dos quais R$ 567,35 já estão comprometidos com empréstimos consignados de outra instituição, restando-lhe, após essas consignações, R$ 1.053,65 — valor inferior ao próprio salário mínimo nacional, o piso que a Constituição definiu como o mínimo "capaz de atender às necessidades vitais básicas" de uma pessoa (art. 7.º, IV, CF/88). A condição de beneficiária de prestação assistencial, destinada por lei a quem não tem meios de prover a própria manutenção, e a declaração de hipossuficiência anexa, são prova bastante da necessidade (art. 99, §3.º, CPC). Requer-se a gratuidade da justiça (arts. 98 e 99, CPC; art. 5.º, LXXIV, CF/88), inclusive para eventual fase recursal.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I.2. Do desinteresse na audiência de conciliação e mediação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parte Autora manifesta expresso desinteresse na audiência do art. 334 do CPC (§5.º). A dispensa do ato atende à razoável duração do processo (art. 5.º, LXXVIII, CF/88) e à urgência material da causa, que envolve verba de natureza assistencial. Requer-se a imediata instrução e julgamento do feito.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I.3. Do julgamento antecipado do mérito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matéria é essencialmente documental: o registro do contrato extraído do aplicativo da própria instituição, a série histórica do BACEN e, após a exibição incidental, o próprio contrato. Requer-se o julgamento antecipado da lide (art. 355, I e II, CPC), inclusive na hipótese de revelia.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I.4. Do foro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Ajuíza-se a presente demanda perante o foro eleito, ressalvada a faculdade do consumidor de demandar no foro de seu domicílio (art. 101, I, CDC), a critério de Vossa Excelência, caso entenda que a competência deva ser reconhecida em outra comarca, hipótese em que se requer a remessa dos autos ao juízo competente, e não a extinção do feito.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II — DOS FATOS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II.1. Da operação impugnada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parte Autora é beneficiária do INSS (NB 721.210.257-2). Em consulta ao aplicativo da instituição Ré, obteve a tela de "Detalhes do contrato" do empréstimo abaixo descrito, que, na modalidade "prorrogação automática", rolou o saldo de contrato anterior sem que se evidencie qualquer liberação de novo crédito: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685"/>
            <w:shd w:val="clear" w:color="auto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CAMPO</w:t>
            </w:r>
          </w:p>
        </w:tc>
        <w:tc>
          <w:tcPr>
            <w:tcW w:type="dxa" w:w="4819"/>
            <w:shd w:val="clear" w:color="auto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INFORMAÇÃO (APLICATIVO DA RÉ)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Produto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EMPRÉSTIMO RESOLVE PN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Contrato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992000820936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Tipo de operação / canal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PRORROGAÇÃO / PRORROGAÇÃO AUTOMÁTICA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Contrato prorrogado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510023886 (saldo prorrogado R$ 2.453,07)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Benefício INSS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7212102572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Data da operação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19/08/2026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Valor contratado / saldo devedor prorrogado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R$ 2.453,07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Taxa de juros mensal / anual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14,80% a.m. / 423,96% a.a.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Vencimento do contrato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01/06/2027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Saldo devedor atual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R$ 2.471,97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IOF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ilegível na captura</w:t>
            </w:r>
          </w:p>
        </w:tc>
      </w:tr>
    </w:tbl>
    <w:p>
      <w:pPr>
        <w:spacing w:after="80"/>
      </w:pP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Observe-se o que o próprio registro da Ré revela: (i) o "valor contratado" (R$ 2.453,07) é exatamente igual ao saldo devedor do contrato anterior, ou seja, </w:t>
      </w:r>
      <w:r>
        <w:rPr>
          <w:rFonts w:ascii="Times New Roman" w:hAnsi="Times New Roman"/>
          <w:b/>
          <w:sz w:val="24"/>
        </w:rPr>
        <w:t>não houve liberação de novo crédito à parte Autora</w:t>
      </w:r>
      <w:r>
        <w:rPr>
          <w:rFonts w:ascii="Times New Roman" w:hAnsi="Times New Roman"/>
          <w:b w:val="0"/>
          <w:sz w:val="24"/>
        </w:rPr>
        <w:t xml:space="preserve">; (ii) a operação ocorreu por "prorrogação automática", canal que não indica manifestação de vontade da consumidora; (iii) a taxa informada é de 14,80% ao mês — </w:t>
      </w:r>
      <w:r>
        <w:rPr>
          <w:rFonts w:ascii="Times New Roman" w:hAnsi="Times New Roman"/>
          <w:b/>
          <w:sz w:val="24"/>
        </w:rPr>
        <w:t>423,96% ao ano</w:t>
      </w:r>
      <w:r>
        <w:rPr>
          <w:rFonts w:ascii="Times New Roman" w:hAnsi="Times New Roman"/>
          <w:b w:val="0"/>
          <w:sz w:val="24"/>
        </w:rPr>
        <w:t xml:space="preserve"> —; e (iv) o saldo já cresceu R$ 18,90 sobre o valor prorrogado (R$ 2.471,97), a evidenciar a incidência de encargos sobre encargos.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Não consta do registro o número de parcelas, o valor das prestações, o Custo Efetivo Total (CET), a forma de cobrança nem a data da captura da tela. A parte Autora não possui cópia do instrumento contratual, nem do contrato originário (510023886). Na data desta petição, </w:t>
      </w:r>
      <w:r>
        <w:rPr>
          <w:rFonts w:ascii="Times New Roman" w:hAnsi="Times New Roman"/>
          <w:b/>
          <w:sz w:val="24"/>
        </w:rPr>
        <w:t>a parte Autora não dispõe de extratos que comprovem descontos efetivados em razão do contrato 992000820936</w:t>
      </w:r>
      <w:r>
        <w:rPr>
          <w:rFonts w:ascii="Times New Roman" w:hAnsi="Times New Roman"/>
          <w:b w:val="0"/>
          <w:sz w:val="24"/>
        </w:rPr>
        <w:t>; os valores apresentados adiante são, por isso, projeções do cenário em que o débito se consume pela taxa informada, e serão ratificados ou retificados após a exibição dos documentos e a apuração dos eventuais pagamentos.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II.2. Da vulnerabilidade da parte Autora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parte Autora vive do Benefício de Prestação Continuada — verba de natureza assistencial, concedida a quem não tem meios de prover a própria subsistência —, no valor de um salário mínimo (R$ 1.621,00). Desse valor, R$ 567,35 já estão comprometidos com consignações de outra instituição financeira (histórico de empréstimo consignado do INSS, de 02/07/2026), de modo que a renda líquida disponível é de R$ 1.053,65. Qualquer encargo adicional vinculado ao benefício ou à conta em que ele é pago atinge diretamente o sustento da consumidora.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II.3. Da opacidade contratual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parte Autora não dispõe do instrumento contratual, não conhece o prazo total, o CET, a existência de cláusula expressa de capitalização, nem a evolução do saldo. Conhece apenas o que a tela do aplicativo da Ré denuncia: uma taxa de 14,80% ao mês, que equivale a 2,32 vezes a taxa média de mercado do mês da operação (6,39% a.m., segundo a série histórica do Banco Central do Brasil), aplicada sobre saldo "rolado" sem nova liberação de crédito, por meio de "prorrogação automática".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opacidade não é acidente: é método. O fornecedor que prorroga automaticamente a dívida e não entrega o contrato priva o consumidor do único documento com que este poderia conferir, questionar e reagir. É contra esse método que o ordenamento armou o consumidor com o instrumento processual que fundamenta o capítulo seguinte.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III — DO PEDIDO INCIDENTAL DE EXIBIÇÃO DE CONTRATO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III.1. Do cabimento — arts. 396 a 399 do CPC e o direito à documentação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Requer-se, incidentalmente, que a Ré seja intimada a exibir a integralidade dos instrumentos contratuais firmados com a parte Autora — em especial o contrato n.º 992000820936, o contrato prorrogado n.º 510023886 e todos os contratos anteriores da cadeia de prorrogações —, com a prova da manifestação de vontade da consumidora para a prorrogação "automática", a discriminação de taxas, CET, IOF, prazos, parcelas pagas, vincendas e vencidas, saldo devedor e o demonstrativo de evolução do débito desde a origem, nos termos dos arts. 396 a 399 do CPC. O pedido não é mera faculdade probatória: é a via processual de um direito material. O consumidor tem direito à informação adequada sobre o serviço contratado (art. 6.º, III, CDC) e o fornecedor tem o dever correlato de documentar e entregar — dever que a Ré descumpriu na origem e que agora será cumprido sob autoridade judicial. A exibição da cadeia completa é indispensável porque o saldo rolado de R$ 2.453,07 já pode conter juros capitalizados de contratos anteriores.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III.2. Da desnecessidade de requerimento administrativo prévio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Preveja-se — e afaste-se — a preliminar de estilo: a de que faltaria interesse processual por ausência de prévio requerimento administrativo. A tese confunde institutos. A exigência de requerimento prévio aplica-se à ação autônoma de exibição de documentos; o pedido incidental, formulado no bojo da ação revisional como técnica instrutória, funda-se diretamente nos arts. 396 e seguintes do CPC e dela independe. A jurisprudência é pacífica:</w:t>
      </w:r>
    </w:p>
    <w:p>
      <w:pPr>
        <w:spacing w:after="120" w:line="360" w:lineRule="auto"/>
        <w:ind w:left="2268"/>
        <w:jc w:val="both"/>
      </w:pPr>
      <w:r>
        <w:rPr>
          <w:rFonts w:ascii="Times New Roman" w:hAnsi="Times New Roman"/>
          <w:b w:val="0"/>
          <w:i/>
          <w:sz w:val="24"/>
        </w:rPr>
        <w:t>"AGRAVO DE INSTRUMENTO. AÇÃO REVISIONAL. EXIBIÇÃO INCIDENTAL DE DOCUMENTOS. É desnecessário o requerimento administrativo prévio de exibição de contrato na ação revisional, quando há pedido incidental de exibição amparado nos artigos 396 e 399 do Código de Processo Civil, cuja falta não justifica a extinção do processo, sem resolução do mérito, por ausência de interesse processual." (TJMG, AI 1.0000.18.008471-7/003, 15.ª Câmara Cível, Rel. Des. Maurílio Gabriel, j. 02/07/2021)</w:t>
      </w:r>
    </w:p>
    <w:p>
      <w:pPr>
        <w:spacing w:after="120" w:line="360" w:lineRule="auto"/>
        <w:ind w:left="2268"/>
        <w:jc w:val="both"/>
      </w:pPr>
      <w:r>
        <w:rPr>
          <w:rFonts w:ascii="Times New Roman" w:hAnsi="Times New Roman"/>
          <w:b w:val="0"/>
          <w:i/>
          <w:sz w:val="24"/>
        </w:rPr>
        <w:t>"EMENTA: DIREITO PROCESSUAL CIVIL — AÇÃO REVISIONAL DE CONTRATO — REQUERIMENTO DE EXIBIÇÃO INCIDENTAL DO INSTRUMENTO CONTRATUAL — PRÉVIO REQUERIMENTO ADMINISTRATIVO — DESNECESSIDADE — EXTINÇÃO DO PROCESSO, SEM RESOLUÇÃO DE MÉRITO, POR AUSÊNCIA DE INTERESSE PROCESSUAL — IMPOSSIBILIDADE — RECURSO PROVIDO — SENTENÇA CASSADA. O pedido, formulado em ação revisional de contrato, de exibição incidental do instrumento contratual objeto do litígio, encontra fundamento legal no artigo 396 do Código de Processo Civil e não se submete ao requisito de prévio requerimento administrativo." (TJMG, Apelação Cível 1.0000.19.050887-9/001, 9.ª Câmara Cível, Rel. Des. Márcio Idalmo Santos Miranda, j. 09/07/2019)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III.3. Da consequência da não exibição — a armadilha processual em que a Ré já está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Ré não tem saída processual boa. Se exibe o contrato, expõe a taxa abusiva ao confronto com a série do BACEN e à revisão consequente. Se não exibe, incidem duas consequências cumulativas: (i) a presunção de veracidade dos fatos que a parte Autora pretendia provar com o documento (art. 400, I, CPC); e (ii) a aplicação direta da Súmula 530/STJ:</w:t>
      </w:r>
    </w:p>
    <w:p>
      <w:pPr>
        <w:spacing w:after="120" w:line="360" w:lineRule="auto"/>
        <w:ind w:left="2268"/>
        <w:jc w:val="both"/>
      </w:pPr>
      <w:r>
        <w:rPr>
          <w:rFonts w:ascii="Times New Roman" w:hAnsi="Times New Roman"/>
          <w:b w:val="0"/>
          <w:i/>
          <w:sz w:val="24"/>
        </w:rPr>
        <w:t>"Nos contratos bancários, na impossibilidade de comprovar a taxa de juros efetivamente contratada — por ausência de pactuação ou pela falta de juntada do instrumento aos autos —, aplica-se a taxa média de mercado, divulgada pelo Bacen, praticada nas operações da mesma espécie, salvo se a taxa cobrada for mais vantajosa para o devedor." (Súmula 530/STJ)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Em qualquer dos cenários, o desfecho jurídico converge: os encargos serão readequados à taxa média do Banco Central. À Ré resta escolher apenas o caminho da própria condenação — exibir o contrato abusivo ou suportar a presunção.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IV — DO DIREITO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IV.1. Da aplicabilidade do CDC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aplicação do Código de Defesa do Consumidor às instituições financeiras está sedimentada na Súmula 297/STJ ("O Código de Defesa do Consumidor é aplicável às instituições financeiras") e no julgamento da ADI 2.591 pelo Supremo Tribunal Federal, que reconheceu nas operações bancárias a natureza de serviço do art. 3.º, §2.º, do CDC. A relação dos autos é de consumo (arts. 2.º e 3.º, CDC), incidindo o direito básico à modificação de cláusulas desproporcionais (art. 6.º, V), a vedação à vantagem manifestamente excessiva (art. 39, V), a nulidade das cláusulas abusivas (art. 51), a responsabilidade objetiva (art. 14) e — com relevância central nesta causa — o direito à informação (art. 6.º, III), cujo descumprimento pela Ré é a própria razão do pedido de exibição.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IV.2. Da prorrogação automática sem liberação de crédito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operação impugnada não representa novo crédito: o "valor contratado" coincide com o saldo devedor prorrogado, de R$ 2.453,07, e nenhum valor foi liberado à consumidora. Trata-se de mera rolagem de dívida, com capitalização do saldo à taxa de 14,80% ao mês. Se a taxa pactuada na origem era menor, a prorrogação elevou-a sem informação clara; se já era essa, a rolagem perpetua o excesso. Em ambos os casos, a prática afronta o dever de informação (art. 6.º, III, CDC), a vedação de impor ao consumidor serviço sem solicitação prévia ou de prevalecer-se de sua condição pessoal (art. 39, III e IV, CDC) e a boa-fé objetiva (art. 422, CC). A consumidora é beneficiária de prestação assistencial; a vulnerabilidade, aqui, é agravada (art. 39, IV, CDC). Requer-se que a Ré comprove a manifestação de vontade da consumidora para a prorrogação, sem o que a operação não poderá produzir efeitos além do saldo originário recalculado.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IV.3. Da função social do contrato e da relativização do pacta sunt servanda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defesa invocará a força obrigatória do contrato. Mas convém perguntar: qual contrato? O que a Ré jamais entregou? A invocação do pacta sunt servanda por quem sonega o próprio pacto é contradição performativa. E ainda que o instrumento viesse aos autos, a força obrigatória encontraria os limites que o ordenamento contemporâneo lhe impôs: a função social do contrato (art. 421, CC), a boa-fé objetiva (art. 422, CC) e o direito potestativo do consumidor à modificação das cláusulas que estabeleçam prestações desproporcionais (art. 6.º, V, CDC) — direito que dispensa imprevisão e se satisfaz com a desproporção objetivamente aferida.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IV.4. Da abusividade dos juros — o parâmetro objetivo do STJ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O sistema de controle das taxas bancárias, construído pela Segunda Seção do STJ no REsp 1.061.530/RS (Rel. Min. Nancy Andrighi, recursos repetitivos), opera com um referencial objetivo: a taxa média de mercado divulgada pelo Banco Central. A revisão é cabível quando cabalmente demonstrada a abusividade que coloca o consumidor em desvantagem exagerada (art. 51, §1.º, CDC), e a jurisprudência consolidou a régua de uma vez e meia a média como fronteira da presunção de abusividade. No caso: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4535"/>
            <w:shd w:val="clear" w:color="auto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INDICADOR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TAXA MENSAL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TAXA ANUAL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Pactuada (informada pela Ré)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14,80%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423,96%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Média de mercado divulgada pelo BACEN, competência ago/2026 (modalidade e período)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6,39%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110,29% (efetiva)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Régua de 1,5 vez a média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9,58%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199,93%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Sobretaxa (14,80% ÷ 6,39%)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2,32 vezes a média (+131,61%)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</w:tr>
    </w:tbl>
    <w:p>
      <w:pPr>
        <w:spacing w:after="80"/>
      </w:pP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taxa informada supera em 54,41% a própria régua de 1,5 vez a média (9,58%), configurando abusividade manifesta. Há mais: o duodecuplo da taxa mensal (12 × 14,80% = 177,60%) diverge da taxa anual declarada (423,96%) em 2,39 vezes, o que demonstra a capitalização composta dos juros. A capitalização, para ser válida, depende de cláusula expressa e clara (Súmula 541/STJ), cláusula que a parte Autora não viu e que a Ré deverá exibir.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Registre-se com precisão o que a parte Autora pede, porque é exatamente o que a jurisprudência consolidada assegura. Não se pede tabelamento, não se pede reescrita judicial voluntarista do contrato. Pede-se a </w:t>
      </w:r>
      <w:r>
        <w:rPr>
          <w:rFonts w:ascii="Times New Roman" w:hAnsi="Times New Roman"/>
          <w:b/>
          <w:sz w:val="24"/>
        </w:rPr>
        <w:t>readequação dos encargos à taxa média de mercado divulgada pelo Banco Central do Brasil para a modalidade e o período, pelo Sistema Francês de Amortização, vedada a capitalização em taxa superior à média</w:t>
      </w:r>
      <w:r>
        <w:rPr>
          <w:rFonts w:ascii="Times New Roman" w:hAnsi="Times New Roman"/>
          <w:b w:val="0"/>
          <w:sz w:val="24"/>
        </w:rPr>
        <w:t xml:space="preserve"> — a taxa que as próprias instituições financeiras, em conjunto, praticavam para operações do mesmo tipo naquele período. A pretensão é a mais conservadora possível: que a Ré receba o que o mercado recebia. Nada menos; rigorosamente nada mais.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projeção abaixo, feita a partir dos únicos dados disponíveis (saldo prorrogado de R$ 2.453,07 em 19/08/2026 e vencimento em 01/06/2027, 286 dias, cerca de 9,53 meses), com capitalização mensal, ilustra a dimensão da diferença: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3118"/>
            <w:shd w:val="clear" w:color="auto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ITEM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PELA TAXA INFORMADA (14,80% a.m.)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PELA TAXA MÉDIA (6,39% a.m.)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Saldo base em 19/08/2026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R$ 2.453,07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R$ 2.453,07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Saldo projetado em 01/06/2027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R$ 9.144,42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R$ 4.427,56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Valor incontroverso (projetado)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R$ 4.427,56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Excesso projetado (diferença)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R$ 4.716,86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</w:tr>
    </w:tbl>
    <w:p>
      <w:pPr>
        <w:spacing w:after="80"/>
      </w:pP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Assim, pela taxa informada, a dívida de R$ 2.453,07 chegaria a R$ 9.144,42 em menos de dez meses, ou </w:t>
      </w:r>
      <w:r>
        <w:rPr>
          <w:rFonts w:ascii="Times New Roman" w:hAnsi="Times New Roman"/>
          <w:b/>
          <w:sz w:val="24"/>
        </w:rPr>
        <w:t>3,73 vezes</w:t>
      </w:r>
      <w:r>
        <w:rPr>
          <w:rFonts w:ascii="Times New Roman" w:hAnsi="Times New Roman"/>
          <w:b w:val="0"/>
          <w:sz w:val="24"/>
        </w:rPr>
        <w:t xml:space="preserve"> o saldo rolado, sem que a consumidora tenha recebido um centavo de novo crédito. Os valores são projeções, sujeitas à exibição do cronograma e ao Memorial de Cálculo definitivo (Memória de Cálculo, Doc.), e deverão ser apurados em liquidação ou perícia contábil. Registre-se que, se o contrato for modalidade consignada em benefício do INSS, a taxa média de referência poderá ser a específica dessa modalidade, o que será conferido na instrução, sem prejuízo da tese, que se mantém.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IV.5. Da ausência de risco que justifique o spread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Antecipe-se a defesa do "risco da operação". A taxa média do BACEN já embute o risco médio das operações da espécie. Operação cujo débito se vincula a benefício previdenciário/assistencial e cujo saldo é apenas rolado, sem desembolso novo, não comporta risco extraordinário que justifique taxa superior a duas vezes a média. Exceder largamente essa média é precificar risco imaginário; e lucro extraído de risco imaginário é, na letra do art. 39, V, do CDC, vantagem manifestamente excessiva. A Ré, que pretenda justificar seus encargos, que abra seus números de captação e inadimplência — ônus que lhe cabe.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IV.6. Do distinguishing frente ao Tema 1378/STJ — por que esta causa independe do repetitivo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Registre-se, por lealdade processual, que a Segunda Seção do STJ afetou ao rito dos repetitivos o Tema 1378 (Rel. Min. Antonio Carlos Ferreira; paradigmas REsp 2.227.276/AL, 2.227.844/RS, 2.227.280/PR e 2.227.287/MG), para definir se a taxa média do BACEN basta como fundamento exclusivo da aferição de abusividade dos juros e a admissibilidade de recursos especiais para rediscutir conclusões fáticas. Esta causa foi construída para sobreviver a qualquer desfecho do repetitivo, por três razões independentes entre si.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Primeira: o processamento. A suspensão determinada na afetação alcança recursos especiais e agravos em recurso especial (art. 1.037, II, CPC) — não paralisa o primeiro grau. Eventual pedido de sobrestamento pela Ré deve ser indeferido de plano.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Segunda: a via da Súmula 530/STJ é imune ao Tema 1378. O repetitivo discute o critério de aferição da abusividade de taxa comprovada nos autos. A Súmula 530 opera em campo distinto: manda aplicar a taxa média quando a taxa contratada não se comprova — por ausência de pactuação ou falta de juntada do instrumento. Recusando-se a Ré à exibição, a taxa média incide por força de súmula, sem que o Tema 1378 tenha o que dizer a respeito.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Terceira: o mérito, se a taxa vier aos autos. Ainda no cenário de exibição do contrato, esta inicial não emprega a taxa média como fundamento exclusivo — emprega-a como referencial (função do Tema 27), demonstrando a desvantagem exagerada pelo conjunto das circunstâncias concretas: taxa informada de 2,32 vezes a média (e 54,41% acima da própria régua de 1,5 vez); capitalização composta evidenciada pela divergência entre a taxa mensal e a anual; consumidora beneficiária de prestação assistencial; operação de mera rolagem, sem liberação de crédito; prorrogação "automática"; e contrato jamais entregue ao aderente. A zona de incerteza do repetitivo — taxas moderadamente superiores à média — está distante destes autos. Fixada a tese que for, o desfecho desta demanda não se altera.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IV.7. Da inversão do ônus da prova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Ré é titular do monopólio das informações e da documentação da operação — a parte Autora sequer possui o contrato. A inversão do ônus da prova (art. 6.º, VIII, CDC) não é mera conveniência processual: é a única forma de equalizar relação em que uma das partes detém todos os dados e a outra, nenhum. Requer-se a inversão desde o mandado de citação, cabendo à Ré apresentar toda a documentação contratual, com discriminação detalhada de taxas, CET, parcelas pagas, vincendas e vencidas.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IV.8. Da tutela de urgência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probabilidade do direito emerge do próprio registro da Ré: taxa de 14,80% ao mês (2,32 vezes a média), saldo rolado sem liberação de crédito e crescimento do débito de R$ 2.453,07 para R$ 2.471,97, tudo documentado. O perigo de dano é o comprometimento da subsistência de beneficiária de prestação assistencial, que já tem parte do benefício consignada por outra instituição. A parte Autora esclarece, com lealdade, que não há nos autos prova de parcelas descontadas nem de parcelas vincendas já identificadas; o risco concreto é o de que, a qualquer momento, a Ré promova descontos no benefício ou na conta de pagamento, ou lance o débito em cadastros restritivos, com base no saldo projetado de R$ 9.144,42. Requer-se, assim, tutela de urgência (art. 300, CPC) para que a Ré se abstenha de efetuar qualquer desconto no benefício ou na conta da Autora referente ao contrato impugnado e de inscrever seu nome em cadastros de inadimplentes, ou, subsidiariamente, limitar qualquer desconto ao valor que vier a ser recalculado pela taxa média do BACEN, a ser fixado após a exibição do cronograma, sob pena de multa diária de R$ 500,00.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V — DOS DANOS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V.1. Da restituição de valores — reserva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parte Autora não pede, nesta oportunidade, a restituição em dobro, porque não há, até aqui, descontos comprovados. Reserva-se, porém, o direito de requerê-la, mediante simples petição nestes autos, para todos os valores que vierem a ser descontados ou pagos acima do recálculo pela taxa média (art. 42, parágrafo único, CDC; EAREsp 676.608/RS, Corte Especial, Rel. Min. Og Fernandes, j. 21/10/2020, que dispensa a demonstração de má-fé, bastando a conduta contrária à boa-fé objetiva), bem como a eventual compensação e restituição do saldo que se apurar a maior em liquidação.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V.2. Do dano moral — as três dimensões de uma mesma lesão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O dano moral desta causa é um só — a lesão à dignidade de pessoa beneficiária de prestação assistencial, a quem se impõe dívida rolada a taxa abusiva, sem liberação de crédito, sem consentimento evidenciado e sem entrega do contrato —, mas se manifesta em três dimensões que devem ser apreciadas conjuntamente na fixação do quantum. Não são pedidos fracionados: são as faces de uma única lesão, cuja extensão (art. 944 do Código Civil) só se mede quando todas comparecem ao arbitramento.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primeira dimensão é a da exposição ao abuso. A prorrogação "automática" de dívida, que faz o saldo de R$ 2.453,07 caminhar para R$ 9.144,42 em menos de dez meses, a uma taxa de 423,96% ao ano, sobre consumidora de renda de um salário mínimo, ultrapassa qualquer fronteira concebível do mero dissabor. A angústia de saber que a dívida cresce sem que se conheça o contrato é presumível da gravidade objetiva da conduta.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segunda dimensão é a do tempo subtraído — o desvio produtivo do consumidor, na formulação de Marcos Dessaune acolhida pelo Superior Tribunal de Justiça como aspecto indenizável da lesão extrapatrimonial. Sem jamais ter recebido o contrato, a parte Autora precisou buscar orientação jurídica, reunir documentação e acionar o Judiciário para obter o que a Ré devia entregar espontaneamente: transparência.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terceira dimensão é a da vulnerabilidade agravada. A parte Autora é beneficiária do BPC/LOAS, pessoa com deficiência, com renda de um salário mínimo, já parcialmente consignada, e vive com a insegurança de saber que um débito que não compreende e não escolheu pode, a qualquer momento, avançar sobre verba de caráter alimentar. Esse estado de insegurança, atingindo o mínimo existencial (arts. 1.º, III, e 7.º, IV, CF/88), integra a extensão da lesão.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Do quantum. Na quantificação, adota-se o método bifásico consagrado pelo STJ: o valor básico da jurisprudência para cobranças bancárias abusivas, ajustado pelas circunstâncias do caso — consumidora beneficiária de prestação assistencial, sonegação do instrumento contratual, prorrogação automática sem liberação de crédito, taxa de 2,32 vezes a média e porte econômico da Ré, para quem indenização simbólica seria custo operacional do abuso. A convergência das três dimensões justifica a fixação da indenização em </w:t>
      </w:r>
      <w:r>
        <w:rPr>
          <w:rFonts w:ascii="Times New Roman" w:hAnsi="Times New Roman"/>
          <w:b/>
          <w:sz w:val="24"/>
        </w:rPr>
        <w:t>R$ 10.000,00 (dez mil reais)</w:t>
      </w:r>
      <w:r>
        <w:rPr>
          <w:rFonts w:ascii="Times New Roman" w:hAnsi="Times New Roman"/>
          <w:b w:val="0"/>
          <w:sz w:val="24"/>
        </w:rPr>
        <w:t>, patamar que compensa a vítima sem enriquecê-la e adverte a fornecedora sem confiscá-la.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VI — DOS PEDIDOS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Ante todo o exposto, requer-se a Vossa Excelência:</w:t>
      </w:r>
    </w:p>
    <w:p>
      <w:pPr>
        <w:spacing w:after="120" w:line="360" w:lineRule="auto"/>
        <w:ind w:left="567"/>
        <w:jc w:val="both"/>
      </w:pPr>
      <w:r>
        <w:rPr>
          <w:rFonts w:ascii="Times New Roman" w:hAnsi="Times New Roman"/>
          <w:b w:val="0"/>
          <w:sz w:val="24"/>
        </w:rPr>
        <w:t>a) a concessão da gratuidade da justiça para as instâncias de 1.º e 2.º graus (arts. 98 e 99, caput e §3.º, CPC);</w:t>
      </w:r>
    </w:p>
    <w:p>
      <w:pPr>
        <w:spacing w:after="120" w:line="360" w:lineRule="auto"/>
        <w:ind w:left="567"/>
        <w:jc w:val="both"/>
      </w:pPr>
      <w:r>
        <w:rPr>
          <w:rFonts w:ascii="Times New Roman" w:hAnsi="Times New Roman"/>
          <w:b w:val="0"/>
          <w:sz w:val="24"/>
        </w:rPr>
        <w:t>b) a não designação de audiência de conciliação e mediação (art. 334, §5.º, CPC);</w:t>
      </w:r>
    </w:p>
    <w:p>
      <w:pPr>
        <w:spacing w:after="120" w:line="360" w:lineRule="auto"/>
        <w:ind w:left="567"/>
        <w:jc w:val="both"/>
      </w:pPr>
      <w:r>
        <w:rPr>
          <w:rFonts w:ascii="Times New Roman" w:hAnsi="Times New Roman"/>
          <w:b w:val="0"/>
          <w:sz w:val="24"/>
        </w:rPr>
        <w:t>c) a concessão de TUTELA DE URGÊNCIA para determinar que a Ré se abstenha de efetuar descontos no benefício ou na conta da parte Autora referentes ao contrato impugnado (n.º 992000820936 e o contrato prorrogado n.º 510023886) e de inscrever o nome da Autora em cadastros de inadimplentes por esse débito — ou, subsidiariamente, que qualquer desconto seja limitado ao valor recalculado pela taxa média do BACEN, a ser fixado após a exibição do cronograma —, sob pena de multa diária de R$ 500,00;</w:t>
      </w:r>
    </w:p>
    <w:p>
      <w:pPr>
        <w:spacing w:after="120" w:line="360" w:lineRule="auto"/>
        <w:ind w:left="567"/>
        <w:jc w:val="both"/>
      </w:pPr>
      <w:r>
        <w:rPr>
          <w:rFonts w:ascii="Times New Roman" w:hAnsi="Times New Roman"/>
          <w:b w:val="0"/>
          <w:sz w:val="24"/>
        </w:rPr>
        <w:t>d) a inversão do ônus da prova (art. 6.º, VIII, CDC), já no mandado de citação;</w:t>
      </w:r>
    </w:p>
    <w:p>
      <w:pPr>
        <w:spacing w:after="120" w:line="360" w:lineRule="auto"/>
        <w:ind w:left="567"/>
        <w:jc w:val="both"/>
      </w:pPr>
      <w:r>
        <w:rPr>
          <w:rFonts w:ascii="Times New Roman" w:hAnsi="Times New Roman"/>
          <w:b w:val="0"/>
          <w:sz w:val="24"/>
        </w:rPr>
        <w:t>e) a intimação da Ré para exibir incidentalmente a integralidade dos contratos firmados com a parte Autora, em especial os de n.º 992000820936 e 510023886 e os anteriores da cadeia de prorrogações, com a prova da manifestação de vontade para a prorrogação e a discriminação de taxas, CET, IOF, prazos, parcelas pagas, vincendas e saldo devedor (arts. 396 a 399, CPC), sob pena de presunção de veracidade dos fatos alegados (art. 400, I, CPC) e de aplicação da Súmula 530/STJ;</w:t>
      </w:r>
    </w:p>
    <w:p>
      <w:pPr>
        <w:spacing w:after="120" w:line="360" w:lineRule="auto"/>
        <w:ind w:left="567"/>
        <w:jc w:val="both"/>
      </w:pPr>
      <w:r>
        <w:rPr>
          <w:rFonts w:ascii="Times New Roman" w:hAnsi="Times New Roman"/>
          <w:b w:val="0"/>
          <w:sz w:val="24"/>
        </w:rPr>
        <w:t>f) a citação da Ré para, querendo, contestar, sob pena de revelia e confissão (art. 344, CPC);</w:t>
      </w:r>
    </w:p>
    <w:p>
      <w:pPr>
        <w:spacing w:after="120" w:line="360" w:lineRule="auto"/>
        <w:ind w:left="567"/>
        <w:jc w:val="both"/>
      </w:pPr>
      <w:r>
        <w:rPr>
          <w:rFonts w:ascii="Times New Roman" w:hAnsi="Times New Roman"/>
          <w:b w:val="0"/>
          <w:sz w:val="24"/>
        </w:rPr>
        <w:t>g) a TOTAL PROCEDÊNCIA da demanda (art. 487, I, CPC), com a declaração de abusividade da taxa praticada e a revisão do contrato, readequando-se os encargos à taxa média de mercado divulgada pelo Banco Central do Brasil para a modalidade e o período da contratação (6,39% a.m. em ago/2026, a conferir), pelo Sistema Francês de Amortização, vedada a capitalização em taxa superior à média, com a apuração do saldo devedor em liquidação;</w:t>
      </w:r>
    </w:p>
    <w:p>
      <w:pPr>
        <w:spacing w:after="120" w:line="360" w:lineRule="auto"/>
        <w:ind w:left="567"/>
        <w:jc w:val="both"/>
      </w:pPr>
      <w:r>
        <w:rPr>
          <w:rFonts w:ascii="Times New Roman" w:hAnsi="Times New Roman"/>
          <w:b w:val="0"/>
          <w:sz w:val="24"/>
        </w:rPr>
        <w:t>h) a condenação da Ré ao pagamento de indenização por dano moral, no valor de R$ 10.000,00 (dez mil reais), considerando-se, na fixação do quantum, todas as dimensões da lesão demonstradas — a exposição ao abuso, o desvio produtivo e a vulnerabilidade agravada;</w:t>
      </w:r>
    </w:p>
    <w:p>
      <w:pPr>
        <w:spacing w:after="120" w:line="360" w:lineRule="auto"/>
        <w:ind w:left="567"/>
        <w:jc w:val="both"/>
      </w:pPr>
      <w:r>
        <w:rPr>
          <w:rFonts w:ascii="Times New Roman" w:hAnsi="Times New Roman"/>
          <w:b w:val="0"/>
          <w:sz w:val="24"/>
        </w:rPr>
        <w:t>i) a ressalva do direito de a parte Autora requerer, nestes autos, a restituição em dobro de todos os valores que vierem a ser descontados ou pagos acima do recálculo, com correção monetária desde cada desembolso e juros de mora desde a citação (art. 42, parágrafo único, CDC; EAREsp 676.608/RS);</w:t>
      </w:r>
    </w:p>
    <w:p>
      <w:pPr>
        <w:spacing w:after="120" w:line="360" w:lineRule="auto"/>
        <w:ind w:left="567"/>
        <w:jc w:val="both"/>
      </w:pPr>
      <w:r>
        <w:rPr>
          <w:rFonts w:ascii="Times New Roman" w:hAnsi="Times New Roman"/>
          <w:b w:val="0"/>
          <w:sz w:val="24"/>
        </w:rPr>
        <w:t>j) custas e honorários advocatícios de 20% sobre a condenação (art. 85, §2.º, CPC);</w:t>
      </w:r>
    </w:p>
    <w:p>
      <w:pPr>
        <w:spacing w:after="120" w:line="360" w:lineRule="auto"/>
        <w:ind w:left="567"/>
        <w:jc w:val="both"/>
      </w:pPr>
      <w:r>
        <w:rPr>
          <w:rFonts w:ascii="Times New Roman" w:hAnsi="Times New Roman"/>
          <w:b w:val="0"/>
          <w:sz w:val="24"/>
        </w:rPr>
        <w:t>k) a produção de todos os meios de prova em direito admitidos, em especial a documental, a pericial contábil e o depoimento pessoal do representante legal da Ré, sob pena de confissão (art. 369, CPC).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Dá-se à causa o valor de </w:t>
      </w:r>
      <w:r>
        <w:rPr>
          <w:rFonts w:ascii="Times New Roman" w:hAnsi="Times New Roman"/>
          <w:b/>
          <w:sz w:val="24"/>
        </w:rPr>
        <w:t>R$ 14.716,86 (quatorze mil, setecentos e dezesseis reais e oitenta e seis centavos)</w:t>
      </w:r>
      <w:r>
        <w:rPr>
          <w:rFonts w:ascii="Times New Roman" w:hAnsi="Times New Roman"/>
          <w:b w:val="0"/>
          <w:sz w:val="24"/>
        </w:rPr>
        <w:t>, correspondente à soma do proveito econômico projetado da revisão (excesso projetado de R$ 4.716,86, conforme Memória de Cálculo, Doc.) e da indenização por danos morais (R$ 10.000,00).</w:t>
      </w:r>
    </w:p>
    <w:p>
      <w:pPr>
        <w:keepNext/>
        <w:spacing w:after="160" w:line="360" w:lineRule="auto"/>
        <w:jc w:val="left"/>
      </w:pPr>
      <w:r>
        <w:rPr>
          <w:rFonts w:ascii="Times New Roman" w:hAnsi="Times New Roman"/>
          <w:b/>
          <w:sz w:val="24"/>
        </w:rPr>
        <w:t>VII — DOS DOCUMENTOS</w:t>
      </w:r>
    </w:p>
    <w:p>
      <w:pPr>
        <w:spacing w:after="40" w:line="360" w:lineRule="auto"/>
        <w:ind w:left="567"/>
        <w:jc w:val="both"/>
      </w:pPr>
      <w:r>
        <w:rPr>
          <w:rFonts w:ascii="Times New Roman" w:hAnsi="Times New Roman"/>
          <w:b w:val="0"/>
          <w:sz w:val="24"/>
        </w:rPr>
        <w:t>1. Procuração, declaração de hipossuficiência e contrato de honorários;</w:t>
      </w:r>
    </w:p>
    <w:p>
      <w:pPr>
        <w:spacing w:after="40" w:line="360" w:lineRule="auto"/>
        <w:ind w:left="567"/>
        <w:jc w:val="both"/>
      </w:pPr>
      <w:r>
        <w:rPr>
          <w:rFonts w:ascii="Times New Roman" w:hAnsi="Times New Roman"/>
          <w:b w:val="0"/>
          <w:sz w:val="24"/>
        </w:rPr>
        <w:t>2. RG e CPF da parte Autora;</w:t>
      </w:r>
    </w:p>
    <w:p>
      <w:pPr>
        <w:spacing w:after="40" w:line="360" w:lineRule="auto"/>
        <w:ind w:left="567"/>
        <w:jc w:val="both"/>
      </w:pPr>
      <w:r>
        <w:rPr>
          <w:rFonts w:ascii="Times New Roman" w:hAnsi="Times New Roman"/>
          <w:b w:val="0"/>
          <w:sz w:val="24"/>
        </w:rPr>
        <w:t>3. Comprovante de residência (fatura de energia, ref. jun/2026);</w:t>
      </w:r>
    </w:p>
    <w:p>
      <w:pPr>
        <w:spacing w:after="40" w:line="360" w:lineRule="auto"/>
        <w:ind w:left="567"/>
        <w:jc w:val="both"/>
      </w:pPr>
      <w:r>
        <w:rPr>
          <w:rFonts w:ascii="Times New Roman" w:hAnsi="Times New Roman"/>
          <w:b w:val="0"/>
          <w:sz w:val="24"/>
        </w:rPr>
        <w:t>4. Captura de tela do aplicativo da Ré — contrato 992000820936 (prorrogação do contrato 510023886);</w:t>
      </w:r>
    </w:p>
    <w:p>
      <w:pPr>
        <w:spacing w:after="40" w:line="360" w:lineRule="auto"/>
        <w:ind w:left="567"/>
        <w:jc w:val="both"/>
      </w:pPr>
      <w:r>
        <w:rPr>
          <w:rFonts w:ascii="Times New Roman" w:hAnsi="Times New Roman"/>
          <w:b w:val="0"/>
          <w:sz w:val="24"/>
        </w:rPr>
        <w:t>5. Histórico de empréstimo consignado do INSS, de 02/07/2026;</w:t>
      </w:r>
    </w:p>
    <w:p>
      <w:pPr>
        <w:spacing w:after="40" w:line="360" w:lineRule="auto"/>
        <w:ind w:left="567"/>
        <w:jc w:val="both"/>
      </w:pPr>
      <w:r>
        <w:rPr>
          <w:rFonts w:ascii="Times New Roman" w:hAnsi="Times New Roman"/>
          <w:b w:val="0"/>
          <w:sz w:val="24"/>
        </w:rPr>
        <w:t>6. Memória de Cálculo (Doc.) — Laudo de Cálculo Revisional, de 07/10/2026.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Nestes termos,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Pede deferimento.</w:t>
      </w:r>
    </w:p>
    <w:p>
      <w:pPr>
        <w:spacing w:after="120" w:line="360" w:lineRule="auto"/>
        <w:jc w:val="left"/>
      </w:pPr>
      <w:r>
        <w:rPr>
          <w:rFonts w:ascii="Times New Roman" w:hAnsi="Times New Roman"/>
          <w:b w:val="0"/>
          <w:sz w:val="24"/>
        </w:rPr>
        <w:t>Salvador/BA, 7 de outubro de 2026.</w:t>
      </w:r>
    </w:p>
    <w:p>
      <w:pPr>
        <w:spacing w:after="120" w:line="360" w:lineRule="auto"/>
        <w:jc w:val="both"/>
      </w:pP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4"/>
        </w:rPr>
        <w:t>______________________________________</w:t>
      </w:r>
    </w:p>
    <w:p>
      <w:pPr>
        <w:spacing w:after="120" w:line="360" w:lineRule="auto"/>
        <w:jc w:val="center"/>
      </w:pPr>
      <w:r>
        <w:rPr>
          <w:rFonts w:ascii="Times New Roman" w:hAnsi="Times New Roman"/>
          <w:b/>
          <w:sz w:val="24"/>
        </w:rPr>
        <w:t>CLEYTON DA SILVA BARBOSA - OAB/BA 92.148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