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Arial" w:hAnsi="Arial"/>
          <w:b/>
          <w:i w:val="0"/>
        </w:rPr>
        <w:t>AO JUÍZO DA 7ª VARA DO SISTEMA DOS JUIZADOS ESPECIAIS CÍVEIS DO CONSUMIDOR DA COMARCA DE SALVADOR — BAHIA</w:t>
      </w:r>
    </w:p>
    <w:p/>
    <w:p>
      <w:pPr>
        <w:jc w:val="right"/>
      </w:pPr>
      <w:r>
        <w:rPr>
          <w:rFonts w:ascii="Arial" w:hAnsi="Arial"/>
          <w:b/>
          <w:i w:val="0"/>
        </w:rPr>
        <w:t>Processo nº 0179544-22.2026.8.05.0001</w:t>
      </w:r>
    </w:p>
    <w:p/>
    <w:p>
      <w:pPr>
        <w:spacing w:line="360" w:lineRule="auto" w:after="120"/>
        <w:ind w:firstLine="709"/>
        <w:jc w:val="both"/>
      </w:pPr>
      <w:r>
        <w:rPr>
          <w:rFonts w:ascii="Arial" w:hAnsi="Arial"/>
          <w:b w:val="0"/>
          <w:i w:val="0"/>
        </w:rPr>
      </w:r>
      <w:r>
        <w:rPr>
          <w:rFonts w:ascii="Arial" w:hAnsi="Arial"/>
          <w:b/>
          <w:i w:val="0"/>
        </w:rPr>
        <w:t>ANDREIA SANTANA ALMEIDA</w:t>
      </w:r>
      <w:r>
        <w:rPr>
          <w:rFonts w:ascii="Arial" w:hAnsi="Arial"/>
          <w:b w:val="0"/>
          <w:i w:val="0"/>
        </w:rPr>
        <w:t xml:space="preserve">, já qualificada nos autos da ação declaratória de inexistência de relação jurídica c/c obrigação de fazer e indenização por danos morais que move em face de </w:t>
      </w:r>
      <w:r>
        <w:rPr>
          <w:rFonts w:ascii="Arial" w:hAnsi="Arial"/>
          <w:b/>
          <w:i w:val="0"/>
        </w:rPr>
        <w:t>ACESSO SOLUÇÕES DE PAGAMENTO S.A. – INSTITUIÇÃO DE PAGAMENTO</w:t>
      </w:r>
      <w:r>
        <w:rPr>
          <w:rFonts w:ascii="Arial" w:hAnsi="Arial"/>
          <w:b w:val="0"/>
          <w:i w:val="0"/>
        </w:rPr>
        <w:t xml:space="preserve">, vem, respeitosamente, perante este Juízo, por meio de seu advogado, apresentar </w:t>
      </w:r>
      <w:r>
        <w:rPr>
          <w:rFonts w:ascii="Arial" w:hAnsi="Arial"/>
          <w:b/>
          <w:i w:val="0"/>
        </w:rPr>
        <w:t>IMPUGNAÇÃO À CONTESTAÇÃO</w:t>
      </w:r>
      <w:r>
        <w:rPr>
          <w:rFonts w:ascii="Arial" w:hAnsi="Arial"/>
          <w:b w:val="0"/>
          <w:i w:val="0"/>
        </w:rPr>
        <w:t xml:space="preserve"> oferecida pela empresa ré, nos termos do art. 437 do CPC/2015 c/c art. 6º, VIII, do CDC e art. 373, II, do CPC, pelos fundamentos a seguir.</w:t>
      </w:r>
    </w:p>
    <w:p>
      <w:pPr>
        <w:spacing w:line="360" w:lineRule="auto" w:after="120"/>
        <w:jc w:val="both"/>
      </w:pPr>
      <w:r>
        <w:rPr>
          <w:rFonts w:ascii="Arial" w:hAnsi="Arial"/>
          <w:b w:val="0"/>
          <w:i w:val="0"/>
        </w:rPr>
      </w:r>
      <w:r>
        <w:rPr>
          <w:rFonts w:ascii="Arial" w:hAnsi="Arial"/>
          <w:b/>
          <w:i w:val="0"/>
          <w:color w:val="C00000"/>
        </w:rPr>
        <w:t>[CONFIRMAR ANTES DE PROTOCOLAR: se a Autora tiver 60 anos ou mais (a inicial a descreve como pessoa idosa, sem data de nascimento), incluir aqui: "PRIORIDADE DE TRAMITAÇÃO — PESSOA IDOSA (art. 1.048, I, CPC; Lei 10.741/2003, arts. 3º, 4º e 71)". Apagar este aviso.]</w:t>
      </w:r>
      <w:r>
        <w:rPr>
          <w:rFonts w:ascii="Arial" w:hAnsi="Arial"/>
          <w:b w:val="0"/>
          <w:i w:val="0"/>
        </w:rPr>
      </w:r>
    </w:p>
    <w:p>
      <w:pPr>
        <w:keepNext/>
        <w:spacing w:before="280" w:after="120"/>
        <w:jc w:val="both"/>
        <w:pBdr>
          <w:bottom w:val="single" w:sz="6" w:space="1" w:color="1F3864"/>
        </w:pBdr>
      </w:pPr>
      <w:r>
        <w:rPr>
          <w:rFonts w:ascii="Arial" w:hAnsi="Arial"/>
          <w:b/>
          <w:i w:val="0"/>
          <w:color w:val="1F3864"/>
        </w:rPr>
        <w:t>SÍNTESE DA CONTESTAÇÃO E DO QUE FICOU INCONTROVERSO</w:t>
      </w:r>
    </w:p>
    <w:p>
      <w:pPr>
        <w:spacing w:line="360" w:lineRule="auto" w:after="120"/>
        <w:ind w:firstLine="709"/>
        <w:jc w:val="both"/>
      </w:pPr>
      <w:r>
        <w:rPr>
          <w:rFonts w:ascii="Arial" w:hAnsi="Arial"/>
          <w:b w:val="0"/>
          <w:i w:val="0"/>
        </w:rPr>
        <w:t>A Ré sustenta, em síntese, que (i) é mera plataforma tecnológica (Banking as a Service, "Bankly") sem relação com o consumidor final; (ii) é parte ilegítima; (iii) a conta, encerrada em 27/08/2024, esvaziou o objeto da ação; (iv) não houve reclamação prévia; (v) a conta foi aberta "regularmente", com documentação "coincidente"; (vi) houve fato de terceiro e culpa da Autora; (vii) não há dano; (viii) o CDC e a inversão do ônus não se aplicam; e (ix) eventual condenação deve ser inferior a R$ 5.000,00.</w:t>
      </w:r>
    </w:p>
    <w:p>
      <w:pPr>
        <w:spacing w:line="360" w:lineRule="auto" w:after="120"/>
        <w:ind w:firstLine="709"/>
        <w:jc w:val="both"/>
      </w:pPr>
      <w:r>
        <w:rPr>
          <w:rFonts w:ascii="Arial" w:hAnsi="Arial"/>
          <w:b w:val="0"/>
          <w:i w:val="0"/>
        </w:rPr>
        <w:t xml:space="preserve">Antes de rebater cada ponto, registra-se o que a própria Ré </w:t>
      </w:r>
      <w:r>
        <w:rPr>
          <w:rFonts w:ascii="Arial" w:hAnsi="Arial"/>
          <w:b/>
          <w:i w:val="0"/>
        </w:rPr>
        <w:t>admite</w:t>
      </w:r>
      <w:r>
        <w:rPr>
          <w:rFonts w:ascii="Arial" w:hAnsi="Arial"/>
          <w:b w:val="0"/>
          <w:i w:val="0"/>
        </w:rPr>
        <w:t xml:space="preserve">: a conta existiu em nome da Autora entre 16/06/2022 e 27/08/2024 (Contestação, pp. 2–3 e 7); a Autora não é cliente da Ré nem utilizou seus serviços (§83); e "não há relação jurídica estabelecida entre as partes" (§65). A Ré </w:t>
      </w:r>
      <w:r>
        <w:rPr>
          <w:rFonts w:ascii="Arial" w:hAnsi="Arial"/>
          <w:b/>
          <w:i w:val="0"/>
        </w:rPr>
        <w:t>não juntou um único documento</w:t>
      </w:r>
      <w:r>
        <w:rPr>
          <w:rFonts w:ascii="Arial" w:hAnsi="Arial"/>
          <w:b w:val="0"/>
          <w:i w:val="0"/>
        </w:rPr>
        <w:t xml:space="preserve"> da abertura da conta. A Autora sustenta, desde a inicial, que jamais solicitou, contratou ou autorizou essa conta.</w:t>
      </w:r>
    </w:p>
    <w:p>
      <w:pPr>
        <w:keepNext/>
        <w:spacing w:before="280" w:after="120"/>
        <w:jc w:val="both"/>
        <w:pBdr>
          <w:bottom w:val="single" w:sz="6" w:space="1" w:color="1F3864"/>
        </w:pBdr>
      </w:pPr>
      <w:r>
        <w:rPr>
          <w:rFonts w:ascii="Arial" w:hAnsi="Arial"/>
          <w:b/>
          <w:i w:val="0"/>
          <w:color w:val="1F3864"/>
        </w:rPr>
        <w:t>I — DAS PRELIMINARES DA CONTESTAÇÃO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shd w:val="clear" w:color="auto" w:fill="1F3864"/>
          </w:tcPr>
          <w:p>
            <w:pPr>
              <w:jc w:val="left"/>
            </w:pPr>
            <w:r>
              <w:rPr>
                <w:b/>
                <w:color w:val="FFFFFF"/>
                <w:sz w:val="19"/>
              </w:rPr>
            </w:r>
            <w:r>
              <w:rPr>
                <w:rFonts w:ascii="Arial" w:hAnsi="Arial"/>
                <w:b/>
                <w:i w:val="0"/>
                <w:color w:val="FFFFFF"/>
                <w:sz w:val="19"/>
              </w:rPr>
              <w:t>#</w:t>
            </w:r>
          </w:p>
        </w:tc>
        <w:tc>
          <w:tcPr>
            <w:tcW w:type="dxa" w:w="2438"/>
            <w:shd w:val="clear" w:color="auto" w:fill="1F3864"/>
          </w:tcPr>
          <w:p>
            <w:pPr>
              <w:jc w:val="left"/>
            </w:pPr>
            <w:r>
              <w:rPr>
                <w:b/>
                <w:color w:val="FFFFFF"/>
                <w:sz w:val="19"/>
              </w:rPr>
            </w:r>
            <w:r>
              <w:rPr>
                <w:rFonts w:ascii="Arial" w:hAnsi="Arial"/>
                <w:b/>
                <w:i w:val="0"/>
                <w:color w:val="FFFFFF"/>
                <w:sz w:val="19"/>
              </w:rPr>
              <w:t>Preliminar</w:t>
            </w:r>
          </w:p>
        </w:tc>
        <w:tc>
          <w:tcPr>
            <w:tcW w:type="dxa" w:w="4252"/>
            <w:shd w:val="clear" w:color="auto" w:fill="1F3864"/>
          </w:tcPr>
          <w:p>
            <w:pPr>
              <w:jc w:val="left"/>
            </w:pPr>
            <w:r>
              <w:rPr>
                <w:b/>
                <w:color w:val="FFFFFF"/>
                <w:sz w:val="19"/>
              </w:rPr>
            </w:r>
            <w:r>
              <w:rPr>
                <w:rFonts w:ascii="Arial" w:hAnsi="Arial"/>
                <w:b/>
                <w:i w:val="0"/>
                <w:color w:val="FFFFFF"/>
                <w:sz w:val="19"/>
              </w:rPr>
              <w:t>Fundamento de rejeição</w:t>
            </w:r>
          </w:p>
        </w:tc>
        <w:tc>
          <w:tcPr>
            <w:tcW w:type="dxa" w:w="1134"/>
            <w:shd w:val="clear" w:color="auto" w:fill="1F3864"/>
          </w:tcPr>
          <w:p>
            <w:pPr>
              <w:jc w:val="left"/>
            </w:pPr>
            <w:r>
              <w:rPr>
                <w:b/>
                <w:color w:val="FFFFFF"/>
                <w:sz w:val="19"/>
              </w:rPr>
            </w:r>
            <w:r>
              <w:rPr>
                <w:rFonts w:ascii="Arial" w:hAnsi="Arial"/>
                <w:b/>
                <w:i w:val="0"/>
                <w:color w:val="FFFFFF"/>
                <w:sz w:val="19"/>
              </w:rPr>
              <w:t>Consequência</w:t>
            </w:r>
          </w:p>
        </w:tc>
      </w:tr>
      <w:tr>
        <w:tc>
          <w:tcPr>
            <w:tcW w:type="dxa" w:w="680"/>
          </w:tcPr>
          <w:p>
            <w:pPr>
              <w:jc w:val="left"/>
            </w:pPr>
            <w:r>
              <w:rPr>
                <w:sz w:val="19"/>
              </w:rPr>
            </w:r>
            <w:r>
              <w:rPr>
                <w:rFonts w:ascii="Arial" w:hAnsi="Arial"/>
                <w:b w:val="0"/>
                <w:i w:val="0"/>
                <w:sz w:val="19"/>
              </w:rPr>
              <w:t>1.1</w:t>
            </w:r>
          </w:p>
        </w:tc>
        <w:tc>
          <w:tcPr>
            <w:tcW w:type="dxa" w:w="2438"/>
          </w:tcPr>
          <w:p>
            <w:pPr>
              <w:jc w:val="left"/>
            </w:pPr>
            <w:r>
              <w:rPr>
                <w:sz w:val="19"/>
              </w:rPr>
            </w:r>
            <w:r>
              <w:rPr>
                <w:rFonts w:ascii="Arial" w:hAnsi="Arial"/>
                <w:b w:val="0"/>
                <w:i w:val="0"/>
                <w:sz w:val="19"/>
              </w:rPr>
              <w:t>Ilegitimidade passiva (Cont. §§20–27)</w:t>
            </w:r>
          </w:p>
        </w:tc>
        <w:tc>
          <w:tcPr>
            <w:tcW w:type="dxa" w:w="4252"/>
          </w:tcPr>
          <w:p>
            <w:pPr>
              <w:jc w:val="left"/>
            </w:pPr>
            <w:r>
              <w:rPr>
                <w:sz w:val="19"/>
              </w:rPr>
            </w:r>
            <w:r>
              <w:rPr>
                <w:rFonts w:ascii="Arial" w:hAnsi="Arial"/>
                <w:b w:val="0"/>
                <w:i w:val="0"/>
                <w:sz w:val="19"/>
              </w:rPr>
              <w:t>A Ré é a instituição titular da conta no Registrato, controladora dos dados e integrante da cadeia de consumo; legitimidade se afere pela narrativa da inicial.</w:t>
            </w:r>
          </w:p>
        </w:tc>
        <w:tc>
          <w:tcPr>
            <w:tcW w:type="dxa" w:w="1134"/>
          </w:tcPr>
          <w:p>
            <w:pPr>
              <w:jc w:val="left"/>
            </w:pPr>
            <w:r>
              <w:rPr>
                <w:sz w:val="19"/>
              </w:rPr>
            </w:r>
            <w:r>
              <w:rPr>
                <w:rFonts w:ascii="Arial" w:hAnsi="Arial"/>
                <w:b w:val="0"/>
                <w:i w:val="0"/>
                <w:sz w:val="19"/>
              </w:rPr>
              <w:t>Rejeição</w:t>
            </w:r>
          </w:p>
        </w:tc>
      </w:tr>
      <w:tr>
        <w:tc>
          <w:tcPr>
            <w:tcW w:type="dxa" w:w="680"/>
          </w:tcPr>
          <w:p>
            <w:pPr>
              <w:jc w:val="left"/>
            </w:pPr>
            <w:r>
              <w:rPr>
                <w:sz w:val="19"/>
              </w:rPr>
            </w:r>
            <w:r>
              <w:rPr>
                <w:rFonts w:ascii="Arial" w:hAnsi="Arial"/>
                <w:b w:val="0"/>
                <w:i w:val="0"/>
                <w:sz w:val="19"/>
              </w:rPr>
              <w:t>1.2</w:t>
            </w:r>
          </w:p>
        </w:tc>
        <w:tc>
          <w:tcPr>
            <w:tcW w:type="dxa" w:w="2438"/>
          </w:tcPr>
          <w:p>
            <w:pPr>
              <w:jc w:val="left"/>
            </w:pPr>
            <w:r>
              <w:rPr>
                <w:sz w:val="19"/>
              </w:rPr>
            </w:r>
            <w:r>
              <w:rPr>
                <w:rFonts w:ascii="Arial" w:hAnsi="Arial"/>
                <w:b w:val="0"/>
                <w:i w:val="0"/>
                <w:sz w:val="19"/>
              </w:rPr>
              <w:t>Perda superveniente do objeto / conta encerrada (§§28–36)</w:t>
            </w:r>
          </w:p>
        </w:tc>
        <w:tc>
          <w:tcPr>
            <w:tcW w:type="dxa" w:w="4252"/>
          </w:tcPr>
          <w:p>
            <w:pPr>
              <w:jc w:val="left"/>
            </w:pPr>
            <w:r>
              <w:rPr>
                <w:sz w:val="19"/>
              </w:rPr>
            </w:r>
            <w:r>
              <w:rPr>
                <w:rFonts w:ascii="Arial" w:hAnsi="Arial"/>
                <w:b w:val="0"/>
                <w:i w:val="0"/>
                <w:sz w:val="19"/>
              </w:rPr>
              <w:t>O encerramento não satisfaz o pedido declaratório, a eliminação de dados nem a indenização.</w:t>
            </w:r>
          </w:p>
        </w:tc>
        <w:tc>
          <w:tcPr>
            <w:tcW w:type="dxa" w:w="1134"/>
          </w:tcPr>
          <w:p>
            <w:pPr>
              <w:jc w:val="left"/>
            </w:pPr>
            <w:r>
              <w:rPr>
                <w:sz w:val="19"/>
              </w:rPr>
            </w:r>
            <w:r>
              <w:rPr>
                <w:rFonts w:ascii="Arial" w:hAnsi="Arial"/>
                <w:b w:val="0"/>
                <w:i w:val="0"/>
                <w:sz w:val="19"/>
              </w:rPr>
              <w:t>Rejeição</w:t>
            </w:r>
          </w:p>
        </w:tc>
      </w:tr>
      <w:tr>
        <w:tc>
          <w:tcPr>
            <w:tcW w:type="dxa" w:w="680"/>
          </w:tcPr>
          <w:p>
            <w:pPr>
              <w:jc w:val="left"/>
            </w:pPr>
            <w:r>
              <w:rPr>
                <w:sz w:val="19"/>
              </w:rPr>
            </w:r>
            <w:r>
              <w:rPr>
                <w:rFonts w:ascii="Arial" w:hAnsi="Arial"/>
                <w:b w:val="0"/>
                <w:i w:val="0"/>
                <w:sz w:val="19"/>
              </w:rPr>
              <w:t>1.3</w:t>
            </w:r>
          </w:p>
        </w:tc>
        <w:tc>
          <w:tcPr>
            <w:tcW w:type="dxa" w:w="2438"/>
          </w:tcPr>
          <w:p>
            <w:pPr>
              <w:jc w:val="left"/>
            </w:pPr>
            <w:r>
              <w:rPr>
                <w:sz w:val="19"/>
              </w:rPr>
            </w:r>
            <w:r>
              <w:rPr>
                <w:rFonts w:ascii="Arial" w:hAnsi="Arial"/>
                <w:b w:val="0"/>
                <w:i w:val="0"/>
                <w:sz w:val="19"/>
              </w:rPr>
              <w:t>Ausência de interesse de agir por falta de reclamação prévia (§§37–43)</w:t>
            </w:r>
          </w:p>
        </w:tc>
        <w:tc>
          <w:tcPr>
            <w:tcW w:type="dxa" w:w="4252"/>
          </w:tcPr>
          <w:p>
            <w:pPr>
              <w:jc w:val="left"/>
            </w:pPr>
            <w:r>
              <w:rPr>
                <w:sz w:val="19"/>
              </w:rPr>
            </w:r>
            <w:r>
              <w:rPr>
                <w:rFonts w:ascii="Arial" w:hAnsi="Arial"/>
                <w:b w:val="0"/>
                <w:i w:val="0"/>
                <w:sz w:val="19"/>
              </w:rPr>
              <w:t>Inafastabilidade da jurisdição; a própria Ré reconhece que não se trata de exaurimento da via administrativa.</w:t>
            </w:r>
          </w:p>
        </w:tc>
        <w:tc>
          <w:tcPr>
            <w:tcW w:type="dxa" w:w="1134"/>
          </w:tcPr>
          <w:p>
            <w:pPr>
              <w:jc w:val="left"/>
            </w:pPr>
            <w:r>
              <w:rPr>
                <w:sz w:val="19"/>
              </w:rPr>
            </w:r>
            <w:r>
              <w:rPr>
                <w:rFonts w:ascii="Arial" w:hAnsi="Arial"/>
                <w:b w:val="0"/>
                <w:i w:val="0"/>
                <w:sz w:val="19"/>
              </w:rPr>
              <w:t>Rejeição</w:t>
            </w:r>
          </w:p>
        </w:tc>
      </w:tr>
    </w:tbl>
    <w:p>
      <w:pPr>
        <w:spacing w:after="40"/>
      </w:pPr>
    </w:p>
    <w:p>
      <w:pPr>
        <w:keepNext/>
        <w:spacing w:before="280" w:after="120"/>
        <w:jc w:val="both"/>
      </w:pPr>
      <w:r>
        <w:rPr>
          <w:rFonts w:ascii="Arial" w:hAnsi="Arial"/>
          <w:b/>
          <w:i w:val="0"/>
          <w:color w:val="1F3864"/>
        </w:rPr>
        <w:t>1.1 ILEGITIMIDADE PASSIVA</w:t>
      </w:r>
    </w:p>
    <w:p>
      <w:pPr>
        <w:spacing w:line="360" w:lineRule="auto" w:after="120"/>
        <w:ind w:firstLine="709"/>
        <w:jc w:val="both"/>
      </w:pPr>
      <w:r>
        <w:rPr>
          <w:rFonts w:ascii="Arial" w:hAnsi="Arial"/>
          <w:b w:val="0"/>
          <w:i w:val="0"/>
        </w:rPr>
        <w:t xml:space="preserve">A Ré afirma que sua atuação "é limitada, sem qualquer conhecimento da suposta fraude" (§21) e que "não foi a Acesso quem deu início à cadeia do imbróglio" (§23). Esses são argumentos de </w:t>
      </w:r>
      <w:r>
        <w:rPr>
          <w:rFonts w:ascii="Arial" w:hAnsi="Arial"/>
          <w:b/>
          <w:i w:val="0"/>
        </w:rPr>
        <w:t>mérito</w:t>
      </w:r>
      <w:r>
        <w:rPr>
          <w:rFonts w:ascii="Arial" w:hAnsi="Arial"/>
          <w:b w:val="0"/>
          <w:i w:val="0"/>
        </w:rPr>
        <w:t xml:space="preserve"> (existência de falha ou de nexo causal), não de legitimidade. A legitimidade passiva é verificada pela relação jurídica descrita na inicial, e a Autora imputa à Ré justamente a manutenção de conta em seu nome e o tratamento de seus dados pessoais, sem autorização.</w:t>
      </w:r>
    </w:p>
    <w:p>
      <w:pPr>
        <w:spacing w:line="360" w:lineRule="auto" w:after="120"/>
        <w:ind w:firstLine="709"/>
        <w:jc w:val="both"/>
      </w:pPr>
      <w:r>
        <w:rPr>
          <w:rFonts w:ascii="Arial" w:hAnsi="Arial"/>
          <w:b w:val="0"/>
          <w:i w:val="0"/>
        </w:rPr>
        <w:t>A Ré consta como titular do vínculo no Sistema Registrato do Banco Central (Registrato juntado pela Autora e reproduzido pela própria Ré, Cont. pp. 3 e 7), é instituição de pagamento regulada (Lei 12.865/2013; Res. BCB 80/21 e 81/21) e, na qualidade de controladora (art. 5º, VI, LGPD), responde pelo tratamento (art. 42, LGPD). Além disso, a própria Ré descreve que fornece "a infraestrutura tecnológica e regulatória" para a realização dos serviços (§15) e que atuou como "hospedeira" dos valores (§49). Quem integra a cadeia de fornecimento do serviço responde por ele perante o consumidor (art. 14, CDC), inclusive o consumidor por equiparação, vítima do evento (art. 17, CDC), expressamente invocado pela Ré no §82.</w:t>
      </w:r>
    </w:p>
    <w:p>
      <w:pPr>
        <w:spacing w:line="360" w:lineRule="auto" w:after="120"/>
        <w:ind w:firstLine="709"/>
        <w:jc w:val="both"/>
      </w:pPr>
      <w:r>
        <w:rPr>
          <w:rFonts w:ascii="Arial" w:hAnsi="Arial"/>
          <w:b w:val="0"/>
          <w:i w:val="0"/>
        </w:rPr>
        <w:t xml:space="preserve">A Ré alega que o "Parceiro" é quem interage com o cliente final (§15), mas </w:t>
      </w:r>
      <w:r>
        <w:rPr>
          <w:rFonts w:ascii="Arial" w:hAnsi="Arial"/>
          <w:b/>
          <w:i w:val="0"/>
        </w:rPr>
        <w:t>não o identifica nem junta qualquer contrato com ele</w:t>
      </w:r>
      <w:r>
        <w:rPr>
          <w:rFonts w:ascii="Arial" w:hAnsi="Arial"/>
          <w:b w:val="0"/>
          <w:i w:val="0"/>
        </w:rPr>
        <w:t xml:space="preserve">. Se há terceiro responsável, incumbia à Ré indicá-lo e provar; entre o consumidor e a cadeia, quem explora a atividade assume o risco. </w:t>
      </w:r>
      <w:r>
        <w:rPr>
          <w:rFonts w:ascii="Arial" w:hAnsi="Arial"/>
          <w:b/>
          <w:i w:val="0"/>
        </w:rPr>
        <w:t>Consequência processual:</w:t>
      </w:r>
      <w:r>
        <w:rPr>
          <w:rFonts w:ascii="Arial" w:hAnsi="Arial"/>
          <w:b w:val="0"/>
          <w:i w:val="0"/>
        </w:rPr>
        <w:t xml:space="preserve"> rejeição.</w:t>
      </w:r>
    </w:p>
    <w:p>
      <w:pPr>
        <w:keepNext/>
        <w:spacing w:before="280" w:after="120"/>
        <w:jc w:val="both"/>
      </w:pPr>
      <w:r>
        <w:rPr>
          <w:rFonts w:ascii="Arial" w:hAnsi="Arial"/>
          <w:b/>
          <w:i w:val="0"/>
          <w:color w:val="1F3864"/>
        </w:rPr>
        <w:t>1.2 PERDA SUPERVENIENTE DO OBJETO E INTERESSE DE AGIR — CONTA ENCERRADA</w:t>
      </w:r>
    </w:p>
    <w:p>
      <w:pPr>
        <w:spacing w:line="360" w:lineRule="auto" w:after="120"/>
        <w:ind w:firstLine="709"/>
        <w:jc w:val="both"/>
      </w:pPr>
      <w:r>
        <w:rPr>
          <w:rFonts w:ascii="Arial" w:hAnsi="Arial"/>
          <w:b w:val="0"/>
          <w:i w:val="0"/>
        </w:rPr>
        <w:t xml:space="preserve">A extinção por perda do objeto (art. 485, VI, CPC) pressupõe que </w:t>
      </w:r>
      <w:r>
        <w:rPr>
          <w:rFonts w:ascii="Arial" w:hAnsi="Arial"/>
          <w:b/>
          <w:i w:val="0"/>
        </w:rPr>
        <w:t>todos</w:t>
      </w:r>
      <w:r>
        <w:rPr>
          <w:rFonts w:ascii="Arial" w:hAnsi="Arial"/>
          <w:b w:val="0"/>
          <w:i w:val="0"/>
        </w:rPr>
        <w:t xml:space="preserve"> os pedidos tenham se tornado inúteis. Não é o caso: (a) o pedido </w:t>
      </w:r>
      <w:r>
        <w:rPr>
          <w:rFonts w:ascii="Arial" w:hAnsi="Arial"/>
          <w:b/>
          <w:i w:val="0"/>
        </w:rPr>
        <w:t>declaratório</w:t>
      </w:r>
      <w:r>
        <w:rPr>
          <w:rFonts w:ascii="Arial" w:hAnsi="Arial"/>
          <w:b w:val="0"/>
          <w:i w:val="0"/>
        </w:rPr>
        <w:t xml:space="preserve"> (inexistência da relação jurídica) mantém utilidade qualquer que seja o status da conta, pois sem sentença persistem os registros internos e externos que sustentaram a abertura (art. 17, CPC — necessidade e adequação); (b) a </w:t>
      </w:r>
      <w:r>
        <w:rPr>
          <w:rFonts w:ascii="Arial" w:hAnsi="Arial"/>
          <w:b/>
          <w:i w:val="0"/>
        </w:rPr>
        <w:t>obrigação de fazer</w:t>
      </w:r>
      <w:r>
        <w:rPr>
          <w:rFonts w:ascii="Arial" w:hAnsi="Arial"/>
          <w:b w:val="0"/>
          <w:i w:val="0"/>
        </w:rPr>
        <w:t xml:space="preserve"> não se limita a encerrar a conta, mas a eliminar os dados pessoais da Autora dos sistemas da Ré e de parceiros (art. 18, VI, LGPD), providência que a Ré nem alega ter cumprido; (c) o pedido </w:t>
      </w:r>
      <w:r>
        <w:rPr>
          <w:rFonts w:ascii="Arial" w:hAnsi="Arial"/>
          <w:b/>
          <w:i w:val="0"/>
        </w:rPr>
        <w:t>indenizatório</w:t>
      </w:r>
      <w:r>
        <w:rPr>
          <w:rFonts w:ascii="Arial" w:hAnsi="Arial"/>
          <w:b w:val="0"/>
          <w:i w:val="0"/>
        </w:rPr>
        <w:t xml:space="preserve"> é autônomo: o ilícito ocorreu na abertura e na manutenção da conta por mais de dois anos (16/06/2022 a 27/08/2024).</w:t>
      </w:r>
    </w:p>
    <w:p>
      <w:pPr>
        <w:spacing w:line="360" w:lineRule="auto" w:after="120"/>
        <w:ind w:firstLine="709"/>
        <w:jc w:val="both"/>
      </w:pPr>
      <w:r>
        <w:rPr>
          <w:rFonts w:ascii="Arial" w:hAnsi="Arial"/>
          <w:b w:val="0"/>
          <w:i w:val="0"/>
        </w:rPr>
        <w:t xml:space="preserve">Ademais, o encerramento foi </w:t>
      </w:r>
      <w:r>
        <w:rPr>
          <w:rFonts w:ascii="Arial" w:hAnsi="Arial"/>
          <w:b/>
          <w:i w:val="0"/>
        </w:rPr>
        <w:t>ato unilateral da Ré</w:t>
      </w:r>
      <w:r>
        <w:rPr>
          <w:rFonts w:ascii="Arial" w:hAnsi="Arial"/>
          <w:b w:val="0"/>
          <w:i w:val="0"/>
        </w:rPr>
        <w:t xml:space="preserve">, sem qualquer prova nos autos de seu motivo, de sua data efetiva ou de que decorreu de reclamação da Autora. Não reconhece a fraude nem a repara. A Ré tampouco prova que eliminou os dados. E, ao dizer que tomou "providências cabíveis" tão logo conheceu a situação (§33), </w:t>
      </w:r>
      <w:r>
        <w:rPr>
          <w:rFonts w:ascii="Arial" w:hAnsi="Arial"/>
          <w:b/>
          <w:i w:val="0"/>
        </w:rPr>
        <w:t>não junta nenhum registro</w:t>
      </w:r>
      <w:r>
        <w:rPr>
          <w:rFonts w:ascii="Arial" w:hAnsi="Arial"/>
          <w:b w:val="0"/>
          <w:i w:val="0"/>
        </w:rPr>
        <w:t xml:space="preserve"> dessa providência. O precedente do TJGO invocado (§34) tratou de hipótese de *ausência de comprovação de fraude*, e aqui a Ré sequer apresentou documento de abertura. </w:t>
      </w:r>
      <w:r>
        <w:rPr>
          <w:rFonts w:ascii="Arial" w:hAnsi="Arial"/>
          <w:b/>
          <w:i w:val="0"/>
        </w:rPr>
        <w:t>Consequência processual:</w:t>
      </w:r>
      <w:r>
        <w:rPr>
          <w:rFonts w:ascii="Arial" w:hAnsi="Arial"/>
          <w:b w:val="0"/>
          <w:i w:val="0"/>
        </w:rPr>
        <w:t xml:space="preserve"> rejeição.</w:t>
      </w:r>
    </w:p>
    <w:p>
      <w:pPr>
        <w:keepNext/>
        <w:spacing w:before="280" w:after="120"/>
        <w:jc w:val="both"/>
      </w:pPr>
      <w:r>
        <w:rPr>
          <w:rFonts w:ascii="Arial" w:hAnsi="Arial"/>
          <w:b/>
          <w:i w:val="0"/>
          <w:color w:val="1F3864"/>
        </w:rPr>
        <w:t>1.3 AUSÊNCIA DE INTERESSE DE AGIR POR FALTA DE RECLAMAÇÃO PRÉVIA</w:t>
      </w:r>
    </w:p>
    <w:p>
      <w:pPr>
        <w:spacing w:line="360" w:lineRule="auto" w:after="120"/>
        <w:ind w:firstLine="709"/>
        <w:jc w:val="both"/>
      </w:pPr>
      <w:r>
        <w:rPr>
          <w:rFonts w:ascii="Arial" w:hAnsi="Arial"/>
          <w:b w:val="0"/>
          <w:i w:val="0"/>
        </w:rPr>
        <w:t xml:space="preserve">A Ré alega que a Autora não comprovou "recusa" ou "reporte" administrativo (§§37–42), mas reconhece no §42 que "não se trata da necessidade do exaurimento da via administrativa". A resistência à pretensão se manifesta na própria contestação, que nega integralmente o direito. Além disso, a inicial narra reclamação telefônica à Ré (11 5033-8500), sem resposta efetiva (inicial, §2.2), fato </w:t>
      </w:r>
      <w:r>
        <w:rPr>
          <w:rFonts w:ascii="Arial" w:hAnsi="Arial"/>
          <w:b/>
          <w:i w:val="0"/>
        </w:rPr>
        <w:t>que a Ré não impugnou especificamente nem contrapôs com qualquer registro de atendimento</w:t>
      </w:r>
      <w:r>
        <w:rPr>
          <w:rFonts w:ascii="Arial" w:hAnsi="Arial"/>
          <w:b w:val="0"/>
          <w:i w:val="0"/>
        </w:rPr>
        <w:t xml:space="preserve"> (art. 341, CPC). </w:t>
      </w:r>
      <w:r>
        <w:rPr>
          <w:rFonts w:ascii="Arial" w:hAnsi="Arial"/>
          <w:b/>
          <w:i w:val="0"/>
        </w:rPr>
        <w:t>Consequência processual:</w:t>
      </w:r>
      <w:r>
        <w:rPr>
          <w:rFonts w:ascii="Arial" w:hAnsi="Arial"/>
          <w:b w:val="0"/>
          <w:i w:val="0"/>
        </w:rPr>
        <w:t xml:space="preserve"> rejeição.</w:t>
      </w:r>
    </w:p>
    <w:p>
      <w:pPr>
        <w:keepNext/>
        <w:spacing w:before="280" w:after="120"/>
        <w:jc w:val="both"/>
        <w:pBdr>
          <w:bottom w:val="single" w:sz="6" w:space="1" w:color="1F3864"/>
        </w:pBdr>
      </w:pPr>
      <w:r>
        <w:rPr>
          <w:rFonts w:ascii="Arial" w:hAnsi="Arial"/>
          <w:b/>
          <w:i w:val="0"/>
          <w:color w:val="1F3864"/>
        </w:rPr>
        <w:t>II — DO VÍCIO ESTRUTURAL DA CONTESTAÇÃO: AUSÊNCIA DE PROVA DA CONTRATAÇÃO ESPECÍFICA</w:t>
      </w:r>
    </w:p>
    <w:p>
      <w:pPr>
        <w:spacing w:line="360" w:lineRule="auto" w:after="120"/>
        <w:ind w:firstLine="709"/>
        <w:jc w:val="both"/>
      </w:pPr>
      <w:r>
        <w:rPr>
          <w:rFonts w:ascii="Arial" w:hAnsi="Arial"/>
          <w:b w:val="0"/>
          <w:i w:val="0"/>
        </w:rPr>
        <w:t xml:space="preserve">Toda a defesa repousa em afirmações que não vêm acompanhadas de prova. A Ré diz que a conta foi aberta "mediante o envio de documentação idônea" (§4, iv), que há "correspondência com os documentos juntados pela própria autora, inclusive quanto à fotografia de validação" (§5) e que a conta "passou por todos os métodos de validação" (Pedidos, II.D). </w:t>
      </w:r>
      <w:r>
        <w:rPr>
          <w:rFonts w:ascii="Arial" w:hAnsi="Arial"/>
          <w:b/>
          <w:i w:val="0"/>
        </w:rPr>
        <w:t>Nenhum documento foi juntado</w:t>
      </w:r>
      <w:r>
        <w:rPr>
          <w:rFonts w:ascii="Arial" w:hAnsi="Arial"/>
          <w:b w:val="0"/>
          <w:i w:val="0"/>
        </w:rPr>
        <w:t>: nem a documentação, nem a fotografia, nem o resultado de validação. É a Ré quem deve provar o fato impeditivo do direito da Autora (art. 373, II, CPC), e a inversão do ônus é de pleno direito (art. 6º, VIII, CDC): há verossimilhança (Registrato) e hipossuficiência técnica (os registros estão nos sistemas da Ré).</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color="auto" w:fill="1F3864"/>
          </w:tcPr>
          <w:p>
            <w:pPr>
              <w:jc w:val="left"/>
            </w:pPr>
            <w:r>
              <w:rPr>
                <w:b/>
                <w:color w:val="FFFFFF"/>
                <w:sz w:val="19"/>
              </w:rPr>
            </w:r>
            <w:r>
              <w:rPr>
                <w:rFonts w:ascii="Arial" w:hAnsi="Arial"/>
                <w:b/>
                <w:i w:val="0"/>
                <w:color w:val="FFFFFF"/>
                <w:sz w:val="19"/>
              </w:rPr>
              <w:t>A Ré alega</w:t>
            </w:r>
          </w:p>
        </w:tc>
        <w:tc>
          <w:tcPr>
            <w:tcW w:type="dxa" w:w="1984"/>
            <w:shd w:val="clear" w:color="auto" w:fill="1F3864"/>
          </w:tcPr>
          <w:p>
            <w:pPr>
              <w:jc w:val="left"/>
            </w:pPr>
            <w:r>
              <w:rPr>
                <w:b/>
                <w:color w:val="FFFFFF"/>
                <w:sz w:val="19"/>
              </w:rPr>
            </w:r>
            <w:r>
              <w:rPr>
                <w:rFonts w:ascii="Arial" w:hAnsi="Arial"/>
                <w:b/>
                <w:i w:val="0"/>
                <w:color w:val="FFFFFF"/>
                <w:sz w:val="19"/>
              </w:rPr>
              <w:t>A Ré juntou</w:t>
            </w:r>
          </w:p>
        </w:tc>
        <w:tc>
          <w:tcPr>
            <w:tcW w:type="dxa" w:w="3402"/>
            <w:shd w:val="clear" w:color="auto" w:fill="1F3864"/>
          </w:tcPr>
          <w:p>
            <w:pPr>
              <w:jc w:val="left"/>
            </w:pPr>
            <w:r>
              <w:rPr>
                <w:b/>
                <w:color w:val="FFFFFF"/>
                <w:sz w:val="19"/>
              </w:rPr>
            </w:r>
            <w:r>
              <w:rPr>
                <w:rFonts w:ascii="Arial" w:hAnsi="Arial"/>
                <w:b/>
                <w:i w:val="0"/>
                <w:color w:val="FFFFFF"/>
                <w:sz w:val="19"/>
              </w:rPr>
              <w:t>Não juntou</w:t>
            </w:r>
          </w:p>
        </w:tc>
      </w:tr>
      <w:tr>
        <w:tc>
          <w:tcPr>
            <w:tcW w:type="dxa" w:w="3118"/>
          </w:tcPr>
          <w:p>
            <w:pPr>
              <w:jc w:val="left"/>
            </w:pPr>
            <w:r>
              <w:rPr>
                <w:sz w:val="19"/>
              </w:rPr>
            </w:r>
            <w:r>
              <w:rPr>
                <w:rFonts w:ascii="Arial" w:hAnsi="Arial"/>
                <w:b w:val="0"/>
                <w:i w:val="0"/>
                <w:sz w:val="19"/>
              </w:rPr>
              <w:t>Conta aberta "regularmente", com documentação idônea (§§4, 6)</w:t>
            </w:r>
          </w:p>
        </w:tc>
        <w:tc>
          <w:tcPr>
            <w:tcW w:type="dxa" w:w="1984"/>
          </w:tcPr>
          <w:p>
            <w:pPr>
              <w:jc w:val="left"/>
            </w:pPr>
            <w:r>
              <w:rPr>
                <w:sz w:val="19"/>
              </w:rPr>
            </w:r>
            <w:r>
              <w:rPr>
                <w:rFonts w:ascii="Arial" w:hAnsi="Arial"/>
                <w:b w:val="0"/>
                <w:i w:val="0"/>
                <w:sz w:val="19"/>
              </w:rPr>
              <w:t>Nada</w:t>
            </w:r>
          </w:p>
        </w:tc>
        <w:tc>
          <w:tcPr>
            <w:tcW w:type="dxa" w:w="3402"/>
          </w:tcPr>
          <w:p>
            <w:pPr>
              <w:jc w:val="left"/>
            </w:pPr>
            <w:r>
              <w:rPr>
                <w:sz w:val="19"/>
              </w:rPr>
            </w:r>
            <w:r>
              <w:rPr>
                <w:rFonts w:ascii="Arial" w:hAnsi="Arial"/>
                <w:b w:val="0"/>
                <w:i w:val="0"/>
                <w:sz w:val="19"/>
              </w:rPr>
              <w:t>Ficha cadastral, documento de identificação, termo de adesão</w:t>
            </w:r>
          </w:p>
        </w:tc>
      </w:tr>
      <w:tr>
        <w:tc>
          <w:tcPr>
            <w:tcW w:type="dxa" w:w="3118"/>
          </w:tcPr>
          <w:p>
            <w:pPr>
              <w:jc w:val="left"/>
            </w:pPr>
            <w:r>
              <w:rPr>
                <w:sz w:val="19"/>
              </w:rPr>
            </w:r>
            <w:r>
              <w:rPr>
                <w:rFonts w:ascii="Arial" w:hAnsi="Arial"/>
                <w:b w:val="0"/>
                <w:i w:val="0"/>
                <w:sz w:val="19"/>
              </w:rPr>
              <w:t>"Fotografia de validação" coincide com a da Autora (§5)</w:t>
            </w:r>
          </w:p>
        </w:tc>
        <w:tc>
          <w:tcPr>
            <w:tcW w:type="dxa" w:w="1984"/>
          </w:tcPr>
          <w:p>
            <w:pPr>
              <w:jc w:val="left"/>
            </w:pPr>
            <w:r>
              <w:rPr>
                <w:sz w:val="19"/>
              </w:rPr>
            </w:r>
            <w:r>
              <w:rPr>
                <w:rFonts w:ascii="Arial" w:hAnsi="Arial"/>
                <w:b w:val="0"/>
                <w:i w:val="0"/>
                <w:sz w:val="19"/>
              </w:rPr>
              <w:t>Nada</w:t>
            </w:r>
          </w:p>
        </w:tc>
        <w:tc>
          <w:tcPr>
            <w:tcW w:type="dxa" w:w="3402"/>
          </w:tcPr>
          <w:p>
            <w:pPr>
              <w:jc w:val="left"/>
            </w:pPr>
            <w:r>
              <w:rPr>
                <w:sz w:val="19"/>
              </w:rPr>
            </w:r>
            <w:r>
              <w:rPr>
                <w:rFonts w:ascii="Arial" w:hAnsi="Arial"/>
                <w:b w:val="0"/>
                <w:i w:val="0"/>
                <w:sz w:val="19"/>
              </w:rPr>
              <w:t>Selfie, relatório biométrico, liveness</w:t>
            </w:r>
          </w:p>
        </w:tc>
      </w:tr>
      <w:tr>
        <w:tc>
          <w:tcPr>
            <w:tcW w:type="dxa" w:w="3118"/>
          </w:tcPr>
          <w:p>
            <w:pPr>
              <w:jc w:val="left"/>
            </w:pPr>
            <w:r>
              <w:rPr>
                <w:sz w:val="19"/>
              </w:rPr>
            </w:r>
            <w:r>
              <w:rPr>
                <w:rFonts w:ascii="Arial" w:hAnsi="Arial"/>
                <w:b w:val="0"/>
                <w:i w:val="0"/>
                <w:sz w:val="19"/>
              </w:rPr>
              <w:t>Conta passou por "todos os métodos de validação" (Pedidos II.D)</w:t>
            </w:r>
          </w:p>
        </w:tc>
        <w:tc>
          <w:tcPr>
            <w:tcW w:type="dxa" w:w="1984"/>
          </w:tcPr>
          <w:p>
            <w:pPr>
              <w:jc w:val="left"/>
            </w:pPr>
            <w:r>
              <w:rPr>
                <w:sz w:val="19"/>
              </w:rPr>
            </w:r>
            <w:r>
              <w:rPr>
                <w:rFonts w:ascii="Arial" w:hAnsi="Arial"/>
                <w:b w:val="0"/>
                <w:i w:val="0"/>
                <w:sz w:val="19"/>
              </w:rPr>
              <w:t>Nada</w:t>
            </w:r>
          </w:p>
        </w:tc>
        <w:tc>
          <w:tcPr>
            <w:tcW w:type="dxa" w:w="3402"/>
          </w:tcPr>
          <w:p>
            <w:pPr>
              <w:jc w:val="left"/>
            </w:pPr>
            <w:r>
              <w:rPr>
                <w:sz w:val="19"/>
              </w:rPr>
            </w:r>
            <w:r>
              <w:rPr>
                <w:rFonts w:ascii="Arial" w:hAnsi="Arial"/>
                <w:b w:val="0"/>
                <w:i w:val="0"/>
                <w:sz w:val="19"/>
              </w:rPr>
              <w:t>Log de abertura (IP, dispositivo, geolocalização), titularidade de e-mail e celular</w:t>
            </w:r>
          </w:p>
        </w:tc>
      </w:tr>
      <w:tr>
        <w:tc>
          <w:tcPr>
            <w:tcW w:type="dxa" w:w="3118"/>
          </w:tcPr>
          <w:p>
            <w:pPr>
              <w:jc w:val="left"/>
            </w:pPr>
            <w:r>
              <w:rPr>
                <w:sz w:val="19"/>
              </w:rPr>
            </w:r>
            <w:r>
              <w:rPr>
                <w:rFonts w:ascii="Arial" w:hAnsi="Arial"/>
                <w:b w:val="0"/>
                <w:i w:val="0"/>
                <w:sz w:val="19"/>
              </w:rPr>
              <w:t>Conta encerrada em 27/08/2024 (§7)</w:t>
            </w:r>
          </w:p>
        </w:tc>
        <w:tc>
          <w:tcPr>
            <w:tcW w:type="dxa" w:w="1984"/>
          </w:tcPr>
          <w:p>
            <w:pPr>
              <w:jc w:val="left"/>
            </w:pPr>
            <w:r>
              <w:rPr>
                <w:sz w:val="19"/>
              </w:rPr>
            </w:r>
            <w:r>
              <w:rPr>
                <w:rFonts w:ascii="Arial" w:hAnsi="Arial"/>
                <w:b w:val="0"/>
                <w:i w:val="0"/>
                <w:sz w:val="19"/>
              </w:rPr>
              <w:t>Apenas o Registrato da própria Autora</w:t>
            </w:r>
          </w:p>
        </w:tc>
        <w:tc>
          <w:tcPr>
            <w:tcW w:type="dxa" w:w="3402"/>
          </w:tcPr>
          <w:p>
            <w:pPr>
              <w:jc w:val="left"/>
            </w:pPr>
            <w:r>
              <w:rPr>
                <w:sz w:val="19"/>
              </w:rPr>
            </w:r>
            <w:r>
              <w:rPr>
                <w:rFonts w:ascii="Arial" w:hAnsi="Arial"/>
                <w:b w:val="0"/>
                <w:i w:val="0"/>
                <w:sz w:val="19"/>
              </w:rPr>
              <w:t>Documento do encerramento, motivo, prova de exclusão de dados</w:t>
            </w:r>
          </w:p>
        </w:tc>
      </w:tr>
      <w:tr>
        <w:tc>
          <w:tcPr>
            <w:tcW w:type="dxa" w:w="3118"/>
          </w:tcPr>
          <w:p>
            <w:pPr>
              <w:jc w:val="left"/>
            </w:pPr>
            <w:r>
              <w:rPr>
                <w:sz w:val="19"/>
              </w:rPr>
            </w:r>
            <w:r>
              <w:rPr>
                <w:rFonts w:ascii="Arial" w:hAnsi="Arial"/>
                <w:b w:val="0"/>
                <w:i w:val="0"/>
                <w:sz w:val="19"/>
              </w:rPr>
              <w:t>Providências diligentes quando soube da situação (§33)</w:t>
            </w:r>
          </w:p>
        </w:tc>
        <w:tc>
          <w:tcPr>
            <w:tcW w:type="dxa" w:w="1984"/>
          </w:tcPr>
          <w:p>
            <w:pPr>
              <w:jc w:val="left"/>
            </w:pPr>
            <w:r>
              <w:rPr>
                <w:sz w:val="19"/>
              </w:rPr>
            </w:r>
            <w:r>
              <w:rPr>
                <w:rFonts w:ascii="Arial" w:hAnsi="Arial"/>
                <w:b w:val="0"/>
                <w:i w:val="0"/>
                <w:sz w:val="19"/>
              </w:rPr>
              <w:t>Nada</w:t>
            </w:r>
          </w:p>
        </w:tc>
        <w:tc>
          <w:tcPr>
            <w:tcW w:type="dxa" w:w="3402"/>
          </w:tcPr>
          <w:p>
            <w:pPr>
              <w:jc w:val="left"/>
            </w:pPr>
            <w:r>
              <w:rPr>
                <w:sz w:val="19"/>
              </w:rPr>
            </w:r>
            <w:r>
              <w:rPr>
                <w:rFonts w:ascii="Arial" w:hAnsi="Arial"/>
                <w:b w:val="0"/>
                <w:i w:val="0"/>
                <w:sz w:val="19"/>
              </w:rPr>
              <w:t>Qualquer registro de atendimento ou de comunicação ao parceiro</w:t>
            </w:r>
          </w:p>
        </w:tc>
      </w:tr>
    </w:tbl>
    <w:p>
      <w:pPr>
        <w:spacing w:after="40"/>
      </w:pPr>
    </w:p>
    <w:p>
      <w:pPr>
        <w:spacing w:line="360" w:lineRule="auto" w:after="120"/>
        <w:ind w:firstLine="709"/>
        <w:jc w:val="both"/>
      </w:pPr>
      <w:r>
        <w:rPr>
          <w:rFonts w:ascii="Arial" w:hAnsi="Arial"/>
          <w:b w:val="0"/>
          <w:i w:val="0"/>
        </w:rPr>
        <w:t xml:space="preserve">Nos termos do art. 341, CPC, a Ré não impugnou especificamente: a narrativa de que a Autora nunca contratou nem forneceu dados; a reclamação telefônica sem resposta; a violação à LGPD (arts. 7º, I, 18 e 42); e a ausência do prospecto e do contrato exigidos pela Res. CMN 4.753/2019 (arts. 2º e 4º, aplicável por analogia às contas de pagamento, a par da Res. BCB 96/2021). Tais fatos devem ser tidos por verdadeiros. </w:t>
      </w:r>
      <w:r>
        <w:rPr>
          <w:rFonts w:ascii="Arial" w:hAnsi="Arial"/>
          <w:b/>
          <w:i w:val="0"/>
        </w:rPr>
        <w:t>Consequência:</w:t>
      </w:r>
      <w:r>
        <w:rPr>
          <w:rFonts w:ascii="Arial" w:hAnsi="Arial"/>
          <w:b w:val="0"/>
          <w:i w:val="0"/>
        </w:rPr>
        <w:t xml:space="preserve"> a ausência dos elementos técnicos específicos desta abertura confirma a fraude.</w:t>
      </w:r>
    </w:p>
    <w:p>
      <w:pPr>
        <w:keepNext/>
        <w:spacing w:before="280" w:after="120"/>
        <w:jc w:val="both"/>
        <w:pBdr>
          <w:bottom w:val="single" w:sz="6" w:space="1" w:color="1F3864"/>
        </w:pBdr>
      </w:pPr>
      <w:r>
        <w:rPr>
          <w:rFonts w:ascii="Arial" w:hAnsi="Arial"/>
          <w:b/>
          <w:i w:val="0"/>
          <w:color w:val="1F3864"/>
        </w:rPr>
        <w:t>III — DA CONTRADIÇÃO INTERNA DA DEFESA</w:t>
      </w:r>
    </w:p>
    <w:p>
      <w:pPr>
        <w:spacing w:line="360" w:lineRule="auto" w:after="120"/>
        <w:ind w:firstLine="709"/>
        <w:jc w:val="both"/>
      </w:pPr>
      <w:r>
        <w:rPr>
          <w:rFonts w:ascii="Arial" w:hAnsi="Arial"/>
          <w:b w:val="0"/>
          <w:i w:val="0"/>
        </w:rPr>
        <w:t>A contestação contém afirmações que não podem ser simultaneamente verdadeiras:</w:t>
      </w:r>
    </w:p>
    <w:tbl>
      <w:tblPr>
        <w:tblStyle w:val="TableGrid"/>
        <w:tblW w:type="auto" w:w="0"/>
        <w:jc w:val="center"/>
        <w:tblLook w:firstColumn="1" w:firstRow="1" w:lastColumn="0" w:lastRow="0" w:noHBand="0" w:noVBand="1" w:val="04A0"/>
      </w:tblPr>
      <w:tblGrid>
        <w:gridCol w:w="3024"/>
        <w:gridCol w:w="3024"/>
        <w:gridCol w:w="3024"/>
      </w:tblGrid>
      <w:tr>
        <w:tc>
          <w:tcPr>
            <w:tcW w:type="dxa" w:w="3005"/>
            <w:shd w:val="clear" w:color="auto" w:fill="1F3864"/>
          </w:tcPr>
          <w:p>
            <w:pPr>
              <w:jc w:val="left"/>
            </w:pPr>
            <w:r>
              <w:rPr>
                <w:b/>
                <w:color w:val="FFFFFF"/>
                <w:sz w:val="19"/>
              </w:rPr>
            </w:r>
            <w:r>
              <w:rPr>
                <w:rFonts w:ascii="Arial" w:hAnsi="Arial"/>
                <w:b/>
                <w:i w:val="0"/>
                <w:color w:val="FFFFFF"/>
                <w:sz w:val="19"/>
              </w:rPr>
              <w:t>Afirmação A</w:t>
            </w:r>
          </w:p>
        </w:tc>
        <w:tc>
          <w:tcPr>
            <w:tcW w:type="dxa" w:w="3005"/>
            <w:shd w:val="clear" w:color="auto" w:fill="1F3864"/>
          </w:tcPr>
          <w:p>
            <w:pPr>
              <w:jc w:val="left"/>
            </w:pPr>
            <w:r>
              <w:rPr>
                <w:b/>
                <w:color w:val="FFFFFF"/>
                <w:sz w:val="19"/>
              </w:rPr>
            </w:r>
            <w:r>
              <w:rPr>
                <w:rFonts w:ascii="Arial" w:hAnsi="Arial"/>
                <w:b/>
                <w:i w:val="0"/>
                <w:color w:val="FFFFFF"/>
                <w:sz w:val="19"/>
              </w:rPr>
              <w:t>Afirmação B</w:t>
            </w:r>
          </w:p>
        </w:tc>
        <w:tc>
          <w:tcPr>
            <w:tcW w:type="dxa" w:w="2494"/>
            <w:shd w:val="clear" w:color="auto" w:fill="1F3864"/>
          </w:tcPr>
          <w:p>
            <w:pPr>
              <w:jc w:val="left"/>
            </w:pPr>
            <w:r>
              <w:rPr>
                <w:b/>
                <w:color w:val="FFFFFF"/>
                <w:sz w:val="19"/>
              </w:rPr>
            </w:r>
            <w:r>
              <w:rPr>
                <w:rFonts w:ascii="Arial" w:hAnsi="Arial"/>
                <w:b/>
                <w:i w:val="0"/>
                <w:color w:val="FFFFFF"/>
                <w:sz w:val="19"/>
              </w:rPr>
              <w:t>Conflito</w:t>
            </w:r>
          </w:p>
        </w:tc>
      </w:tr>
      <w:tr>
        <w:tc>
          <w:tcPr>
            <w:tcW w:type="dxa" w:w="3005"/>
          </w:tcPr>
          <w:p>
            <w:pPr>
              <w:jc w:val="left"/>
            </w:pPr>
            <w:r>
              <w:rPr>
                <w:sz w:val="19"/>
              </w:rPr>
            </w:r>
            <w:r>
              <w:rPr>
                <w:rFonts w:ascii="Arial" w:hAnsi="Arial"/>
                <w:b w:val="0"/>
                <w:i w:val="0"/>
                <w:sz w:val="19"/>
              </w:rPr>
              <w:t>"A Acesso não possui nenhuma relação com o consumidor final" e "cabe exclusivamente aos parceiros a interação, o gerenciamento do sistema e o contato direto com os clientes finais" (§§9, 15, 16)</w:t>
            </w:r>
          </w:p>
        </w:tc>
        <w:tc>
          <w:tcPr>
            <w:tcW w:type="dxa" w:w="3005"/>
          </w:tcPr>
          <w:p>
            <w:pPr>
              <w:jc w:val="left"/>
            </w:pPr>
            <w:r>
              <w:rPr>
                <w:sz w:val="19"/>
              </w:rPr>
            </w:r>
            <w:r>
              <w:rPr>
                <w:rFonts w:ascii="Arial" w:hAnsi="Arial"/>
                <w:b w:val="0"/>
                <w:i w:val="0"/>
                <w:sz w:val="19"/>
              </w:rPr>
              <w:t>A conta foi "aberta de forma regular", com "documentação com correspondência", "fotografia de validação" e passou "por todos os métodos de validação" (§§5, 6, Pedidos II.D)</w:t>
            </w:r>
          </w:p>
        </w:tc>
        <w:tc>
          <w:tcPr>
            <w:tcW w:type="dxa" w:w="2494"/>
          </w:tcPr>
          <w:p>
            <w:pPr>
              <w:jc w:val="left"/>
            </w:pPr>
            <w:r>
              <w:rPr>
                <w:sz w:val="19"/>
              </w:rPr>
            </w:r>
            <w:r>
              <w:rPr>
                <w:rFonts w:ascii="Arial" w:hAnsi="Arial"/>
                <w:b w:val="0"/>
                <w:i w:val="0"/>
                <w:sz w:val="19"/>
              </w:rPr>
              <w:t>Quem não participa do onboarding não pode atestá-lo. Se o atesta, responde por ele; se não participou, nada prova.</w:t>
            </w:r>
          </w:p>
        </w:tc>
      </w:tr>
      <w:tr>
        <w:tc>
          <w:tcPr>
            <w:tcW w:type="dxa" w:w="3005"/>
          </w:tcPr>
          <w:p>
            <w:pPr>
              <w:jc w:val="left"/>
            </w:pPr>
            <w:r>
              <w:rPr>
                <w:sz w:val="19"/>
              </w:rPr>
            </w:r>
            <w:r>
              <w:rPr>
                <w:rFonts w:ascii="Arial" w:hAnsi="Arial"/>
                <w:b w:val="0"/>
                <w:i w:val="0"/>
                <w:sz w:val="19"/>
              </w:rPr>
              <w:t>"Não há relação jurídica estabelecida entre as partes" (§65) e a Autora "nunca utilizou os serviços da Acesso" (§83)</w:t>
            </w:r>
          </w:p>
        </w:tc>
        <w:tc>
          <w:tcPr>
            <w:tcW w:type="dxa" w:w="3005"/>
          </w:tcPr>
          <w:p>
            <w:pPr>
              <w:jc w:val="left"/>
            </w:pPr>
            <w:r>
              <w:rPr>
                <w:sz w:val="19"/>
              </w:rPr>
            </w:r>
            <w:r>
              <w:rPr>
                <w:rFonts w:ascii="Arial" w:hAnsi="Arial"/>
                <w:b w:val="0"/>
                <w:i w:val="0"/>
                <w:sz w:val="19"/>
              </w:rPr>
              <w:t>Houve conta aberta regularmente em nome da Autora e "não há elementos... falha atribuível" (§§4, 6)</w:t>
            </w:r>
          </w:p>
        </w:tc>
        <w:tc>
          <w:tcPr>
            <w:tcW w:type="dxa" w:w="2494"/>
          </w:tcPr>
          <w:p>
            <w:pPr>
              <w:jc w:val="left"/>
            </w:pPr>
            <w:r>
              <w:rPr>
                <w:sz w:val="19"/>
              </w:rPr>
            </w:r>
            <w:r>
              <w:rPr>
                <w:rFonts w:ascii="Arial" w:hAnsi="Arial"/>
                <w:b w:val="0"/>
                <w:i w:val="0"/>
                <w:sz w:val="19"/>
              </w:rPr>
              <w:t xml:space="preserve">A Ré confessa que não há relação jurídica </w:t>
            </w:r>
            <w:r>
              <w:rPr>
                <w:rFonts w:ascii="Arial" w:hAnsi="Arial"/>
                <w:b/>
                <w:i w:val="0"/>
                <w:sz w:val="19"/>
              </w:rPr>
              <w:t>e</w:t>
            </w:r>
            <w:r>
              <w:rPr>
                <w:rFonts w:ascii="Arial" w:hAnsi="Arial"/>
                <w:b w:val="0"/>
                <w:i w:val="0"/>
                <w:sz w:val="19"/>
              </w:rPr>
              <w:t xml:space="preserve"> sustenta a regularidade de uma relação que diz não existir.</w:t>
            </w:r>
          </w:p>
        </w:tc>
      </w:tr>
      <w:tr>
        <w:tc>
          <w:tcPr>
            <w:tcW w:type="dxa" w:w="3005"/>
          </w:tcPr>
          <w:p>
            <w:pPr>
              <w:jc w:val="left"/>
            </w:pPr>
            <w:r>
              <w:rPr>
                <w:sz w:val="19"/>
              </w:rPr>
            </w:r>
            <w:r>
              <w:rPr>
                <w:rFonts w:ascii="Arial" w:hAnsi="Arial"/>
                <w:b w:val="0"/>
                <w:i w:val="0"/>
                <w:sz w:val="19"/>
              </w:rPr>
              <w:t>A Ré é mera ferramenta tecnológica que "não tomou nenhuma atitude em desfavor da parte autora" (§66)</w:t>
            </w:r>
          </w:p>
        </w:tc>
        <w:tc>
          <w:tcPr>
            <w:tcW w:type="dxa" w:w="3005"/>
          </w:tcPr>
          <w:p>
            <w:pPr>
              <w:jc w:val="left"/>
            </w:pPr>
            <w:r>
              <w:rPr>
                <w:sz w:val="19"/>
              </w:rPr>
            </w:r>
            <w:r>
              <w:rPr>
                <w:rFonts w:ascii="Arial" w:hAnsi="Arial"/>
                <w:b w:val="0"/>
                <w:i w:val="0"/>
                <w:sz w:val="19"/>
              </w:rPr>
              <w:t>A Ré invoca, em seu favor, "boa-fé" e "diligência" para mitigar o prejuízo (§§33, 48, 66)</w:t>
            </w:r>
          </w:p>
        </w:tc>
        <w:tc>
          <w:tcPr>
            <w:tcW w:type="dxa" w:w="2494"/>
          </w:tcPr>
          <w:p>
            <w:pPr>
              <w:jc w:val="left"/>
            </w:pPr>
            <w:r>
              <w:rPr>
                <w:sz w:val="19"/>
              </w:rPr>
            </w:r>
            <w:r>
              <w:rPr>
                <w:rFonts w:ascii="Arial" w:hAnsi="Arial"/>
                <w:b w:val="0"/>
                <w:i w:val="0"/>
                <w:sz w:val="19"/>
              </w:rPr>
              <w:t>Atribui a si providências que não comprova, enquanto nega qualquer conduta.</w:t>
            </w:r>
          </w:p>
        </w:tc>
      </w:tr>
    </w:tbl>
    <w:p>
      <w:pPr>
        <w:spacing w:after="40"/>
      </w:pPr>
    </w:p>
    <w:p>
      <w:pPr>
        <w:spacing w:line="360" w:lineRule="auto" w:after="120"/>
        <w:ind w:firstLine="709"/>
        <w:jc w:val="both"/>
      </w:pPr>
      <w:r>
        <w:rPr>
          <w:rFonts w:ascii="Arial" w:hAnsi="Arial"/>
          <w:b w:val="0"/>
          <w:i w:val="0"/>
        </w:rPr>
        <w:t xml:space="preserve">Se a conta foi aberta no âmbito de plataforma da Ré, esta tem o dever de segurança sobre a abertura; se não participou, não pode afirmar sua regularidade. </w:t>
      </w:r>
      <w:r>
        <w:rPr>
          <w:rFonts w:ascii="Arial" w:hAnsi="Arial"/>
          <w:b/>
          <w:i w:val="0"/>
        </w:rPr>
        <w:t>Consequência:</w:t>
      </w:r>
      <w:r>
        <w:rPr>
          <w:rFonts w:ascii="Arial" w:hAnsi="Arial"/>
          <w:b w:val="0"/>
          <w:i w:val="0"/>
        </w:rPr>
        <w:t xml:space="preserve"> as afirmações da Ré sobre a regularidade da abertura são meras alegações, desprovidas de prova e contraditórias com sua própria tese de ilegitimidade.</w:t>
      </w:r>
    </w:p>
    <w:p>
      <w:pPr>
        <w:keepNext/>
        <w:spacing w:before="280" w:after="120"/>
        <w:jc w:val="both"/>
        <w:pBdr>
          <w:bottom w:val="single" w:sz="6" w:space="1" w:color="1F3864"/>
        </w:pBdr>
      </w:pPr>
      <w:r>
        <w:rPr>
          <w:rFonts w:ascii="Arial" w:hAnsi="Arial"/>
          <w:b/>
          <w:i w:val="0"/>
          <w:color w:val="1F3864"/>
        </w:rPr>
        <w:t>IV — DA RESPONSABILIDADE OBJETIVA: FORTUITO INTERNO, FATO DE TERCEIRO, APARÊNCIA E CULPA CONCORRENTE</w:t>
      </w:r>
    </w:p>
    <w:p>
      <w:pPr>
        <w:keepNext/>
        <w:spacing w:before="280" w:after="120"/>
        <w:jc w:val="both"/>
      </w:pPr>
      <w:r>
        <w:rPr>
          <w:rFonts w:ascii="Arial" w:hAnsi="Arial"/>
          <w:b/>
          <w:i w:val="0"/>
          <w:color w:val="1F3864"/>
        </w:rPr>
        <w:t>IV.A FORTUITO INTERNO — SÚMULA 479/STJ</w:t>
      </w:r>
    </w:p>
    <w:p>
      <w:pPr>
        <w:spacing w:line="360" w:lineRule="auto" w:after="120"/>
        <w:ind w:firstLine="709"/>
        <w:jc w:val="both"/>
      </w:pPr>
      <w:r>
        <w:rPr>
          <w:rFonts w:ascii="Arial" w:hAnsi="Arial"/>
          <w:b w:val="0"/>
          <w:i w:val="0"/>
        </w:rPr>
        <w:t xml:space="preserve">A Ré qualifica a fraude como fortuito externo (§68). A Súmula 479/STJ dispõe que "as instituições financeiras respondem objetivamente pelos danos gerados por fortuito interno relativo a fraudes e delitos praticados por terceiros no âmbito de operações bancárias". A abertura de conta com dados de terceira pessoa é risco inerente à atividade de instituições financeiras e de pagamento, que operam justamente a abertura de contas e a validação de identidade. Nesse sentido: REsp 2.052.228/DF, Min. Nancy Andrighi, 3ª T., 12.09.2023 </w:t>
      </w:r>
      <w:r>
        <w:rPr>
          <w:rFonts w:ascii="Arial" w:hAnsi="Arial"/>
          <w:b/>
          <w:i w:val="0"/>
          <w:color w:val="C00000"/>
        </w:rPr>
        <w:t>[VERIFICAR ANTES DE PROTOCOLAR: conferir a ementa e a aderência ao caso]</w:t>
      </w:r>
      <w:r>
        <w:rPr>
          <w:rFonts w:ascii="Arial" w:hAnsi="Arial"/>
          <w:b w:val="0"/>
          <w:i w:val="0"/>
        </w:rPr>
        <w:t xml:space="preserve">. A excludente do art. 14, §3º, II, CDC exige prova do fato exclusivo de terceiro ou da vítima; a Ré, que não identifica terceiro algum, </w:t>
      </w:r>
      <w:r>
        <w:rPr>
          <w:rFonts w:ascii="Arial" w:hAnsi="Arial"/>
          <w:b/>
          <w:i w:val="0"/>
        </w:rPr>
        <w:t>não prova nada</w:t>
      </w:r>
      <w:r>
        <w:rPr>
          <w:rFonts w:ascii="Arial" w:hAnsi="Arial"/>
          <w:b w:val="0"/>
          <w:i w:val="0"/>
        </w:rPr>
        <w:t>.</w:t>
      </w:r>
    </w:p>
    <w:p>
      <w:pPr>
        <w:keepNext/>
        <w:spacing w:before="280" w:after="120"/>
        <w:jc w:val="both"/>
      </w:pPr>
      <w:r>
        <w:rPr>
          <w:rFonts w:ascii="Arial" w:hAnsi="Arial"/>
          <w:b/>
          <w:i w:val="0"/>
          <w:color w:val="1F3864"/>
        </w:rPr>
        <w:t>IV.B APLICAÇÃO DO CDC E CONSUMIDOR POR EQUIPARAÇÃO</w:t>
      </w:r>
    </w:p>
    <w:p>
      <w:pPr>
        <w:spacing w:line="360" w:lineRule="auto" w:after="120"/>
        <w:ind w:firstLine="709"/>
        <w:jc w:val="both"/>
      </w:pPr>
      <w:r>
        <w:rPr>
          <w:rFonts w:ascii="Arial" w:hAnsi="Arial"/>
          <w:b w:val="0"/>
          <w:i w:val="0"/>
        </w:rPr>
        <w:t>A Ré sustenta que o CDC não se aplica porque o consumidor "nunca utilizou os serviços" (§§82–84), mas invoca o art. 17 (consumidor por equiparação) no §82. A Autora é exatamente a vítima do evento: por força do art. 17, CDC, equipara-se a consumidora a vítima do acidente de consumo, e ela foi atingida pela abertura da conta. A pergunta retórica da Ré ("qual o acidente de consumo?") responde-se pelos fatos: a abertura e manutenção de conta em nome da Autora sem validação idônea.</w:t>
      </w:r>
    </w:p>
    <w:p>
      <w:pPr>
        <w:keepNext/>
        <w:spacing w:before="280" w:after="120"/>
        <w:jc w:val="both"/>
      </w:pPr>
      <w:r>
        <w:rPr>
          <w:rFonts w:ascii="Arial" w:hAnsi="Arial"/>
          <w:b/>
          <w:i w:val="0"/>
          <w:color w:val="1F3864"/>
        </w:rPr>
        <w:t>IV.C TEORIA DA APARÊNCIA E CULPA CONCORRENTE (CC, ART. 945)</w:t>
      </w:r>
    </w:p>
    <w:p>
      <w:pPr>
        <w:spacing w:line="360" w:lineRule="auto" w:after="120"/>
        <w:ind w:firstLine="709"/>
        <w:jc w:val="both"/>
      </w:pPr>
      <w:r>
        <w:rPr>
          <w:rFonts w:ascii="Arial" w:hAnsi="Arial"/>
          <w:b w:val="0"/>
          <w:i w:val="0"/>
        </w:rPr>
        <w:t xml:space="preserve">A Ré atribui à Autora "desídia" na guarda de seus dados (§§45, 53, 57–58), perguntando "como os dados estavam sob posse de pessoa alheia". A Ré </w:t>
      </w:r>
      <w:r>
        <w:rPr>
          <w:rFonts w:ascii="Arial" w:hAnsi="Arial"/>
          <w:b/>
          <w:i w:val="0"/>
        </w:rPr>
        <w:t>não prova</w:t>
      </w:r>
      <w:r>
        <w:rPr>
          <w:rFonts w:ascii="Arial" w:hAnsi="Arial"/>
          <w:b w:val="0"/>
          <w:i w:val="0"/>
        </w:rPr>
        <w:t xml:space="preserve"> que a Autora tenha fornecido seus dados, nem sequer indica em que consistiria a conduta culposa. Dados cadastrais circulam amplamente em vazamentos, o que justifica a exigência de validação reforçada pelas instituições. Imputar à vítima do vazamento a culpa pela fraude inverte a lógica da Súmula 479/STJ. Quanto à teoria da aparência (§49), ela protege quem age com cuidado: a Ré não demonstra qualquer cuidado, pois não junta prova de validação. </w:t>
      </w:r>
      <w:r>
        <w:rPr>
          <w:rFonts w:ascii="Arial" w:hAnsi="Arial"/>
          <w:b/>
          <w:i w:val="0"/>
        </w:rPr>
        <w:t>Consequência:</w:t>
      </w:r>
      <w:r>
        <w:rPr>
          <w:rFonts w:ascii="Arial" w:hAnsi="Arial"/>
          <w:b w:val="0"/>
          <w:i w:val="0"/>
        </w:rPr>
        <w:t xml:space="preserve"> afastadas a culpa exclusiva e a culpa concorrente.</w:t>
      </w:r>
    </w:p>
    <w:p>
      <w:pPr>
        <w:keepNext/>
        <w:spacing w:before="280" w:after="120"/>
        <w:jc w:val="both"/>
        <w:pBdr>
          <w:bottom w:val="single" w:sz="6" w:space="1" w:color="1F3864"/>
        </w:pBdr>
      </w:pPr>
      <w:r>
        <w:rPr>
          <w:rFonts w:ascii="Arial" w:hAnsi="Arial"/>
          <w:b/>
          <w:i w:val="0"/>
          <w:color w:val="1F3864"/>
        </w:rPr>
        <w:t>V — DA AUTENTICAÇÃO ELETRÔNICA INIDÔNEA E DAS LACUNAS DA VALIDAÇÃO</w:t>
      </w:r>
    </w:p>
    <w:p>
      <w:pPr>
        <w:spacing w:line="360" w:lineRule="auto" w:after="120"/>
        <w:ind w:firstLine="709"/>
        <w:jc w:val="both"/>
      </w:pPr>
      <w:r>
        <w:rPr>
          <w:rFonts w:ascii="Arial" w:hAnsi="Arial"/>
          <w:b w:val="0"/>
          <w:i w:val="0"/>
        </w:rPr>
        <w:t>A Ré afirma que a conta passou por "documento pessoal com foto e selfie para validação biométrica" (§46) e que a fotografia "apresenta correspondência" (§5). A mera afirmação de que houve validação biométrica não prova biometria. Fotografia isolada é registro visual sem valor probatório autônomo, e a validação biométrica válida exige: identificação do algoritmo e do motor biométrico; matching score; limiares de aceitação; FAR/FRR; prova de vivacidade (liveness); metadados (data, hora, dispositivo, ambiente, hash); vinculação ao produto específico; e fornecedor certificado. Nenhum desses elementos foi apresentado; a Ré sequer juntou a fotografia.</w:t>
      </w:r>
    </w:p>
    <w:p>
      <w:pPr>
        <w:spacing w:line="360" w:lineRule="auto" w:after="120"/>
        <w:ind w:firstLine="709"/>
        <w:jc w:val="both"/>
      </w:pPr>
      <w:r>
        <w:rPr>
          <w:rFonts w:ascii="Arial" w:hAnsi="Arial"/>
          <w:b w:val="0"/>
          <w:i w:val="0"/>
        </w:rPr>
        <w:t xml:space="preserve">Também não há log técnico da abertura (IP, dispositivo, horário, geolocalização), que está em poder exclusivo da Ré e era indispensável. Tampouco há prova de que o e-mail e o celular cadastrados pertençam à Autora (MP 2.200-2/2001, art. 10, §2º; Lei 14.063/2020: a assinatura eletrônica simples exige aceitação das partes). A omissão milita contra a Ré (art. 373, II, CPC; art. 6º, VIII, CDC) e </w:t>
      </w:r>
      <w:r>
        <w:rPr>
          <w:rFonts w:ascii="Arial" w:hAnsi="Arial"/>
          <w:b/>
          <w:i w:val="0"/>
        </w:rPr>
        <w:t>confirma a verossimilhança</w:t>
      </w:r>
      <w:r>
        <w:rPr>
          <w:rFonts w:ascii="Arial" w:hAnsi="Arial"/>
          <w:b w:val="0"/>
          <w:i w:val="0"/>
        </w:rPr>
        <w:t xml:space="preserve"> da alegação de fraude. Eventual afirmação posterior de que a documentação "coincide" com a da Autora seria insuficiente: nome, CPF, endereço e data de nascimento são dados obteníveis por terceiros, e coincidência não prova autenticidade (art. 104, CC; art. 169, CC).</w:t>
      </w:r>
    </w:p>
    <w:p>
      <w:pPr>
        <w:keepNext/>
        <w:spacing w:before="280" w:after="120"/>
        <w:jc w:val="both"/>
        <w:pBdr>
          <w:bottom w:val="single" w:sz="6" w:space="1" w:color="1F3864"/>
        </w:pBdr>
      </w:pPr>
      <w:r>
        <w:rPr>
          <w:rFonts w:ascii="Arial" w:hAnsi="Arial"/>
          <w:b/>
          <w:i w:val="0"/>
          <w:color w:val="1F3864"/>
        </w:rPr>
        <w:t>VI — DO DANO MORAL IN RE IPSA, DO DESVIO PRODUTIVO E DO QUANTUM</w:t>
      </w:r>
    </w:p>
    <w:p>
      <w:pPr>
        <w:keepNext/>
        <w:spacing w:before="280" w:after="120"/>
        <w:jc w:val="both"/>
      </w:pPr>
      <w:r>
        <w:rPr>
          <w:rFonts w:ascii="Arial" w:hAnsi="Arial"/>
          <w:b/>
          <w:i w:val="0"/>
          <w:color w:val="1F3864"/>
        </w:rPr>
        <w:t>VI.A CONFIGURAÇÃO</w:t>
      </w:r>
    </w:p>
    <w:p>
      <w:pPr>
        <w:spacing w:line="360" w:lineRule="auto" w:after="120"/>
        <w:ind w:firstLine="709"/>
        <w:jc w:val="both"/>
      </w:pPr>
      <w:r>
        <w:rPr>
          <w:rFonts w:ascii="Arial" w:hAnsi="Arial"/>
          <w:b w:val="0"/>
          <w:i w:val="0"/>
        </w:rPr>
        <w:t xml:space="preserve">A Ré alega ausência de dano por estar a conta encerrada (§§62–67). O dano decorre da própria violação: a abertura e manutenção, por mais de dois anos, de conta em nome da Autora, sem consentimento, violou sua autonomia da vontade (art. 104, CC), seus direitos da personalidade (art. 5º, X, CF), configurou fato do serviço defeituoso (art. 14, CDC) e tratamento ilícito de dados (art. 42, LGPD). Trata-se de dano </w:t>
      </w:r>
      <w:r>
        <w:rPr>
          <w:rFonts w:ascii="Arial" w:hAnsi="Arial"/>
          <w:b/>
          <w:i w:val="0"/>
        </w:rPr>
        <w:t>in re ipsa</w:t>
      </w:r>
      <w:r>
        <w:rPr>
          <w:rFonts w:ascii="Arial" w:hAnsi="Arial"/>
          <w:b w:val="0"/>
          <w:i w:val="0"/>
        </w:rPr>
        <w:t xml:space="preserve">, por fortuito interno (Súmula 479/STJ), que não depende de prova de sofrimento específico, de negativação ou de movimentações indevidas. O encerramento posterior não apaga o ilícito já consumado. </w:t>
      </w:r>
      <w:r>
        <w:rPr>
          <w:rFonts w:ascii="Arial" w:hAnsi="Arial"/>
          <w:b/>
          <w:i w:val="0"/>
          <w:color w:val="C00000"/>
        </w:rPr>
        <w:t>[VERIFICAR ANTES DE PROTOCOLAR: incluir precedente específico do TJBA/Turmas Recursais sobre dano moral in re ipsa na abertura fraudulenta de conta, se localizado]</w:t>
      </w:r>
      <w:r>
        <w:rPr>
          <w:rFonts w:ascii="Arial" w:hAnsi="Arial"/>
          <w:b w:val="0"/>
          <w:i w:val="0"/>
        </w:rPr>
      </w:r>
    </w:p>
    <w:p>
      <w:pPr>
        <w:keepNext/>
        <w:spacing w:before="280" w:after="120"/>
        <w:jc w:val="both"/>
      </w:pPr>
      <w:r>
        <w:rPr>
          <w:rFonts w:ascii="Arial" w:hAnsi="Arial"/>
          <w:b/>
          <w:i w:val="0"/>
          <w:color w:val="1F3864"/>
        </w:rPr>
        <w:t>VI.B "DANO EXISTENCIAL" NÃO FOI PEDIDO</w:t>
      </w:r>
    </w:p>
    <w:p>
      <w:pPr>
        <w:spacing w:line="360" w:lineRule="auto" w:after="120"/>
        <w:ind w:firstLine="709"/>
        <w:jc w:val="both"/>
      </w:pPr>
      <w:r>
        <w:rPr>
          <w:rFonts w:ascii="Arial" w:hAnsi="Arial"/>
          <w:b w:val="0"/>
          <w:i w:val="0"/>
        </w:rPr>
        <w:t xml:space="preserve">A Ré dedica quatro seções (§§73–81) a rebater um pedido de R$ 10.000,00 a título de "dano existencial e reparação". </w:t>
      </w:r>
      <w:r>
        <w:rPr>
          <w:rFonts w:ascii="Arial" w:hAnsi="Arial"/>
          <w:b/>
          <w:i w:val="0"/>
        </w:rPr>
        <w:t>A Autora jamais formulou tal pedido</w:t>
      </w:r>
      <w:r>
        <w:rPr>
          <w:rFonts w:ascii="Arial" w:hAnsi="Arial"/>
          <w:b w:val="0"/>
          <w:i w:val="0"/>
        </w:rPr>
        <w:t xml:space="preserve">. A inicial requer R$ 8.000,00 por dano moral e R$ 2.000,00 por desvio produtivo, totalizando R$ 10.000,00 como valor da causa. A contestação enfrenta pedido inexistente, evidenciando defesa genérica que não confrontou o caso concreto. Também se refere a "movimentações financeiras" (§44) e a "as rés" (§65), que não constam da inicial. Quanto aos pedidos efetivamente formulados, a Ré </w:t>
      </w:r>
      <w:r>
        <w:rPr>
          <w:rFonts w:ascii="Arial" w:hAnsi="Arial"/>
          <w:b/>
          <w:i w:val="0"/>
        </w:rPr>
        <w:t>não apresentou nenhuma impugnação específica</w:t>
      </w:r>
      <w:r>
        <w:rPr>
          <w:rFonts w:ascii="Arial" w:hAnsi="Arial"/>
          <w:b w:val="0"/>
          <w:i w:val="0"/>
        </w:rPr>
        <w:t>.</w:t>
      </w:r>
    </w:p>
    <w:p>
      <w:pPr>
        <w:keepNext/>
        <w:spacing w:before="280" w:after="120"/>
        <w:jc w:val="both"/>
      </w:pPr>
      <w:r>
        <w:rPr>
          <w:rFonts w:ascii="Arial" w:hAnsi="Arial"/>
          <w:b/>
          <w:i w:val="0"/>
          <w:color w:val="1F3864"/>
        </w:rPr>
        <w:t>VI.C DESVIO PRODUTIVO</w:t>
      </w:r>
    </w:p>
    <w:p>
      <w:pPr>
        <w:spacing w:line="360" w:lineRule="auto" w:after="120"/>
        <w:ind w:firstLine="709"/>
        <w:jc w:val="both"/>
      </w:pPr>
      <w:r>
        <w:rPr>
          <w:rFonts w:ascii="Arial" w:hAnsi="Arial"/>
          <w:b w:val="0"/>
          <w:i w:val="0"/>
        </w:rPr>
        <w:t xml:space="preserve">A Autora pleiteou R$ 2.000,00 pelo tempo útil perdido tentando resolver, extrajudicialmente, problema a que não deu causa (inicial, Cap. X). A Ré não impugnou o fato nem o valor (art. 341, CPC). Tempo útil dispendido em reclamação telefônica sem resposta, reunião de documentos e contratação de advogado é prejuízo autônomo. </w:t>
      </w:r>
      <w:r>
        <w:rPr>
          <w:rFonts w:ascii="Arial" w:hAnsi="Arial"/>
          <w:b/>
          <w:i w:val="0"/>
          <w:color w:val="C00000"/>
        </w:rPr>
        <w:t>[VERIFICAR ANTES DE PROTOCOLAR: a inicial cita a Súmula 30 da Turma Recursal do TJBA; conferir o enunciado e o número antes de repetir]</w:t>
      </w:r>
      <w:r>
        <w:rPr>
          <w:rFonts w:ascii="Arial" w:hAnsi="Arial"/>
          <w:b w:val="0"/>
          <w:i w:val="0"/>
        </w:rPr>
      </w:r>
    </w:p>
    <w:p>
      <w:pPr>
        <w:keepNext/>
        <w:spacing w:before="280" w:after="120"/>
        <w:jc w:val="both"/>
      </w:pPr>
      <w:r>
        <w:rPr>
          <w:rFonts w:ascii="Arial" w:hAnsi="Arial"/>
          <w:b/>
          <w:i w:val="0"/>
          <w:color w:val="1F3864"/>
        </w:rPr>
        <w:t>VI.D QUANTUM E CONSECTÁRIOS</w:t>
      </w:r>
    </w:p>
    <w:p>
      <w:pPr>
        <w:spacing w:line="360" w:lineRule="auto" w:after="120"/>
        <w:ind w:firstLine="709"/>
        <w:jc w:val="both"/>
      </w:pPr>
      <w:r>
        <w:rPr>
          <w:rFonts w:ascii="Arial" w:hAnsi="Arial"/>
          <w:b w:val="0"/>
          <w:i w:val="0"/>
        </w:rPr>
        <w:t xml:space="preserve">A Ré pede, subsidiariamente, redução para patamar "inferior a R$ 5.000,00" (§71), sob a alegação de que sua conduta foi diligente. Contudo, a Ré </w:t>
      </w:r>
      <w:r>
        <w:rPr>
          <w:rFonts w:ascii="Arial" w:hAnsi="Arial"/>
          <w:b/>
          <w:i w:val="0"/>
        </w:rPr>
        <w:t>não comprova nenhuma diligência</w:t>
      </w:r>
      <w:r>
        <w:rPr>
          <w:rFonts w:ascii="Arial" w:hAnsi="Arial"/>
          <w:b w:val="0"/>
          <w:i w:val="0"/>
        </w:rPr>
        <w:t xml:space="preserve">, e o porte econômico da Ré, a vulnerabilidade da Autora, a duração do ilícito (mais de dois anos) e o caráter pedagógico-punitivo justificam o valor de </w:t>
      </w:r>
      <w:r>
        <w:rPr>
          <w:rFonts w:ascii="Arial" w:hAnsi="Arial"/>
          <w:b/>
          <w:i w:val="0"/>
        </w:rPr>
        <w:t>R$ 8.000,00</w:t>
      </w:r>
      <w:r>
        <w:rPr>
          <w:rFonts w:ascii="Arial" w:hAnsi="Arial"/>
          <w:b w:val="0"/>
          <w:i w:val="0"/>
        </w:rPr>
        <w:t xml:space="preserve"> fixado na inicial, atendendo à razoabilidade e à proporcionalidade. Os consectários seguem a inicial: correção monetária desde o arbitramento (Súmula 362/STJ) e juros de mora na forma pedida; para períodos a partir de 30/08/2024, observa-se a taxa legal do art. 406 do CC, na redação da Lei 14.905/2024.</w:t>
      </w:r>
    </w:p>
    <w:p>
      <w:pPr>
        <w:keepNext/>
        <w:spacing w:before="280" w:after="120"/>
        <w:jc w:val="both"/>
        <w:pBdr>
          <w:bottom w:val="single" w:sz="6" w:space="1" w:color="1F3864"/>
        </w:pBdr>
      </w:pPr>
      <w:r>
        <w:rPr>
          <w:rFonts w:ascii="Arial" w:hAnsi="Arial"/>
          <w:b/>
          <w:i w:val="0"/>
          <w:color w:val="1F3864"/>
        </w:rPr>
        <w:t>VII — DA MANUTENÇÃO DA INVERSÃO DO ÔNUS DA PROVA</w:t>
      </w:r>
    </w:p>
    <w:p>
      <w:pPr>
        <w:spacing w:line="360" w:lineRule="auto" w:after="120"/>
        <w:ind w:firstLine="709"/>
        <w:jc w:val="both"/>
      </w:pPr>
      <w:r>
        <w:rPr>
          <w:rFonts w:ascii="Arial" w:hAnsi="Arial"/>
          <w:b w:val="0"/>
          <w:i w:val="0"/>
        </w:rPr>
        <w:t xml:space="preserve">A Ré sustenta que a inversão seria inviável por tratar-se de "prova negativa" (§§85–91) e invoca o art. 373, §§1º e 2º, CPC. No Juizado Especial, a inversão decorre de pleno direito do art. 6º, VIII, CDC, e seus requisitos estão presentes: </w:t>
      </w:r>
      <w:r>
        <w:rPr>
          <w:rFonts w:ascii="Arial" w:hAnsi="Arial"/>
          <w:b/>
          <w:i w:val="0"/>
        </w:rPr>
        <w:t>verossimilhança</w:t>
      </w:r>
      <w:r>
        <w:rPr>
          <w:rFonts w:ascii="Arial" w:hAnsi="Arial"/>
          <w:b w:val="0"/>
          <w:i w:val="0"/>
        </w:rPr>
        <w:t xml:space="preserve"> (Registrato comprova o vínculo; a Autora nega a contratação; a Ré nada juntou) e </w:t>
      </w:r>
      <w:r>
        <w:rPr>
          <w:rFonts w:ascii="Arial" w:hAnsi="Arial"/>
          <w:b/>
          <w:i w:val="0"/>
        </w:rPr>
        <w:t>hipossuficiência técnica</w:t>
      </w:r>
      <w:r>
        <w:rPr>
          <w:rFonts w:ascii="Arial" w:hAnsi="Arial"/>
          <w:b w:val="0"/>
          <w:i w:val="0"/>
        </w:rPr>
        <w:t xml:space="preserve"> (logs, biometria e fichas estão nos sistemas da Ré). Não há prova diabólica: a Autora não é obrigada a provar que *não* contratou; incumbe à Ré provar que a abertura foi feita </w:t>
      </w:r>
      <w:r>
        <w:rPr>
          <w:rFonts w:ascii="Arial" w:hAnsi="Arial"/>
          <w:b/>
          <w:i w:val="0"/>
        </w:rPr>
        <w:t>pela titular</w:t>
      </w:r>
      <w:r>
        <w:rPr>
          <w:rFonts w:ascii="Arial" w:hAnsi="Arial"/>
          <w:b w:val="0"/>
          <w:i w:val="0"/>
        </w:rPr>
        <w:t xml:space="preserve"> ou com sua autorização, o que depende de documentos que somente a Ré tem. O argumento de que a inversão exige "prova mínima" é correto em abstrato e inaplicável aqui: o Registrato, a negativa da Autora e a omissão da Ré já constituem a prova mínima.</w:t>
      </w:r>
    </w:p>
    <w:p>
      <w:pPr>
        <w:keepNext/>
        <w:spacing w:before="280" w:after="120"/>
        <w:jc w:val="both"/>
        <w:pBdr>
          <w:bottom w:val="single" w:sz="6" w:space="1" w:color="1F3864"/>
        </w:pBdr>
      </w:pPr>
      <w:r>
        <w:rPr>
          <w:rFonts w:ascii="Arial" w:hAnsi="Arial"/>
          <w:b/>
          <w:i w:val="0"/>
          <w:color w:val="1F3864"/>
        </w:rPr>
        <w:t>VIII — DA VIOLAÇÃO À LGPD E AO DEVER DE SEGURANÇA</w:t>
      </w:r>
    </w:p>
    <w:p>
      <w:pPr>
        <w:spacing w:line="360" w:lineRule="auto" w:after="120"/>
        <w:ind w:firstLine="709"/>
        <w:jc w:val="both"/>
      </w:pPr>
      <w:r>
        <w:rPr>
          <w:rFonts w:ascii="Arial" w:hAnsi="Arial"/>
          <w:b w:val="0"/>
          <w:i w:val="0"/>
        </w:rPr>
        <w:t xml:space="preserve">A Ré, controladora (art. 5º, VI, LGPD), tratou dados pessoais da Autora por mais de dois anos </w:t>
      </w:r>
      <w:r>
        <w:rPr>
          <w:rFonts w:ascii="Arial" w:hAnsi="Arial"/>
          <w:b/>
          <w:i w:val="0"/>
        </w:rPr>
        <w:t>sem base legal válida</w:t>
      </w:r>
      <w:r>
        <w:rPr>
          <w:rFonts w:ascii="Arial" w:hAnsi="Arial"/>
          <w:b w:val="0"/>
          <w:i w:val="0"/>
        </w:rPr>
        <w:t xml:space="preserve"> (art. 7º, I), sem segurança adequada (art. 6º, VII e VIII; art. 46) e sem a qualidade exigida (art. 6º, V). A responsabilidade do controlador independe de culpa (art. 42), reforçando, e não substituindo, a responsabilidade do CDC e da Súmula 479/STJ. A contestação sequer enfrenta esse fundamento da inicial.</w:t>
      </w:r>
    </w:p>
    <w:p>
      <w:pPr>
        <w:keepNext/>
        <w:spacing w:before="280" w:after="120"/>
        <w:jc w:val="both"/>
        <w:pBdr>
          <w:bottom w:val="single" w:sz="6" w:space="1" w:color="1F3864"/>
        </w:pBdr>
      </w:pPr>
      <w:r>
        <w:rPr>
          <w:rFonts w:ascii="Arial" w:hAnsi="Arial"/>
          <w:b/>
          <w:i w:val="0"/>
          <w:color w:val="1F3864"/>
        </w:rPr>
        <w:t>IX — DA OBRIGAÇÃO DE FAZER: EXCLUSÃO INTEGRAL DE REGISTROS</w:t>
      </w:r>
    </w:p>
    <w:p>
      <w:pPr>
        <w:spacing w:line="360" w:lineRule="auto" w:after="120"/>
        <w:ind w:firstLine="709"/>
        <w:jc w:val="both"/>
      </w:pPr>
      <w:r>
        <w:rPr>
          <w:rFonts w:ascii="Arial" w:hAnsi="Arial"/>
          <w:b w:val="0"/>
          <w:i w:val="0"/>
        </w:rPr>
        <w:t xml:space="preserve">Ainda que a conta esteja encerrada, o encerramento formal não elimina rastros em bases internas, externas e de parceiros. A obrigação de eliminação integral e irretratável dos dados pessoais da Autora (art. 18, VI, LGPD) persiste, e a Ré deve </w:t>
      </w:r>
      <w:r>
        <w:rPr>
          <w:rFonts w:ascii="Arial" w:hAnsi="Arial"/>
          <w:b/>
          <w:i w:val="0"/>
        </w:rPr>
        <w:t>comprovar documentalmente</w:t>
      </w:r>
      <w:r>
        <w:rPr>
          <w:rFonts w:ascii="Arial" w:hAnsi="Arial"/>
          <w:b w:val="0"/>
          <w:i w:val="0"/>
        </w:rPr>
        <w:t xml:space="preserve"> seu cumprimento. A Ré afirma que "não há qualquer demonstração de movimentações indevidas, cobranças ou negativação" (§32), mas é ela quem detém o histórico da conta e não o juntou.</w:t>
      </w:r>
    </w:p>
    <w:p>
      <w:pPr>
        <w:keepNext/>
        <w:spacing w:before="280" w:after="120"/>
        <w:jc w:val="both"/>
        <w:pBdr>
          <w:bottom w:val="single" w:sz="6" w:space="1" w:color="1F3864"/>
        </w:pBdr>
      </w:pPr>
      <w:r>
        <w:rPr>
          <w:rFonts w:ascii="Arial" w:hAnsi="Arial"/>
          <w:b/>
          <w:i w:val="0"/>
          <w:color w:val="1F3864"/>
        </w:rPr>
        <w:t>X — DAS LACUNAS PROBATÓRIAS DA RÉ</w:t>
      </w:r>
    </w:p>
    <w:p>
      <w:pPr>
        <w:spacing w:line="360" w:lineRule="auto" w:after="120"/>
        <w:ind w:firstLine="709"/>
        <w:jc w:val="both"/>
      </w:pPr>
      <w:r>
        <w:rPr>
          <w:rFonts w:ascii="Arial" w:hAnsi="Arial"/>
          <w:b w:val="0"/>
          <w:i w:val="0"/>
        </w:rPr>
        <w:t>Como argumento de mérito, e não como pedido, registra-se que a Ré não juntou, podendo e devendo: (1) relatório técnico de biometria; (2) log técnico da abertura; (3) comprovação de titularidade do e-mail e do celular; (4) telas específicas desta contratação; (5) contrato ou termo de adesão assinado ou aceito; (6) identificação e contrato com o "Parceiro"; (7) documento do encerramento da conta e motivo. Em cada omissão incumbia à Ré a prova (art. 373, II, CPC), e a ausência confirma a verossimilhança das alegações da Autora (art. 6º, VIII, CDC).</w:t>
      </w:r>
    </w:p>
    <w:p>
      <w:pPr>
        <w:keepNext/>
        <w:spacing w:before="280" w:after="120"/>
        <w:jc w:val="both"/>
        <w:pBdr>
          <w:bottom w:val="single" w:sz="6" w:space="1" w:color="1F3864"/>
        </w:pBdr>
      </w:pPr>
      <w:r>
        <w:rPr>
          <w:rFonts w:ascii="Arial" w:hAnsi="Arial"/>
          <w:b/>
          <w:i w:val="0"/>
          <w:color w:val="1F3864"/>
        </w:rPr>
        <w:t>XI — SÍNTESE ANALÍTICA E ÍNDICE DE DOCUMENTOS</w:t>
      </w:r>
    </w:p>
    <w:p>
      <w:pPr>
        <w:keepNext/>
        <w:spacing w:before="280" w:after="120"/>
        <w:jc w:val="both"/>
      </w:pPr>
      <w:r>
        <w:rPr>
          <w:rFonts w:ascii="Arial" w:hAnsi="Arial"/>
          <w:b/>
          <w:i w:val="0"/>
          <w:color w:val="1F3864"/>
        </w:rPr>
        <w:t>XI.A ÍNDICE DE DOCUMENTOS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361"/>
            <w:shd w:val="clear" w:color="auto" w:fill="1F3864"/>
          </w:tcPr>
          <w:p>
            <w:pPr>
              <w:jc w:val="left"/>
            </w:pPr>
            <w:r>
              <w:rPr>
                <w:b/>
                <w:color w:val="FFFFFF"/>
                <w:sz w:val="19"/>
              </w:rPr>
            </w:r>
            <w:r>
              <w:rPr>
                <w:rFonts w:ascii="Arial" w:hAnsi="Arial"/>
                <w:b/>
                <w:i w:val="0"/>
                <w:color w:val="FFFFFF"/>
                <w:sz w:val="19"/>
              </w:rPr>
              <w:t>Doc.</w:t>
            </w:r>
          </w:p>
        </w:tc>
        <w:tc>
          <w:tcPr>
            <w:tcW w:type="dxa" w:w="1474"/>
            <w:shd w:val="clear" w:color="auto" w:fill="1F3864"/>
          </w:tcPr>
          <w:p>
            <w:pPr>
              <w:jc w:val="left"/>
            </w:pPr>
            <w:r>
              <w:rPr>
                <w:b/>
                <w:color w:val="FFFFFF"/>
                <w:sz w:val="19"/>
              </w:rPr>
            </w:r>
            <w:r>
              <w:rPr>
                <w:rFonts w:ascii="Arial" w:hAnsi="Arial"/>
                <w:b/>
                <w:i w:val="0"/>
                <w:color w:val="FFFFFF"/>
                <w:sz w:val="19"/>
              </w:rPr>
              <w:t>Tipo</w:t>
            </w:r>
          </w:p>
        </w:tc>
        <w:tc>
          <w:tcPr>
            <w:tcW w:type="dxa" w:w="907"/>
            <w:shd w:val="clear" w:color="auto" w:fill="1F3864"/>
          </w:tcPr>
          <w:p>
            <w:pPr>
              <w:jc w:val="left"/>
            </w:pPr>
            <w:r>
              <w:rPr>
                <w:b/>
                <w:color w:val="FFFFFF"/>
                <w:sz w:val="19"/>
              </w:rPr>
            </w:r>
            <w:r>
              <w:rPr>
                <w:rFonts w:ascii="Arial" w:hAnsi="Arial"/>
                <w:b/>
                <w:i w:val="0"/>
                <w:color w:val="FFFFFF"/>
                <w:sz w:val="19"/>
              </w:rPr>
              <w:t>Juntou</w:t>
            </w:r>
          </w:p>
        </w:tc>
        <w:tc>
          <w:tcPr>
            <w:tcW w:type="dxa" w:w="737"/>
            <w:shd w:val="clear" w:color="auto" w:fill="1F3864"/>
          </w:tcPr>
          <w:p>
            <w:pPr>
              <w:jc w:val="left"/>
            </w:pPr>
            <w:r>
              <w:rPr>
                <w:b/>
                <w:color w:val="FFFFFF"/>
                <w:sz w:val="19"/>
              </w:rPr>
            </w:r>
            <w:r>
              <w:rPr>
                <w:rFonts w:ascii="Arial" w:hAnsi="Arial"/>
                <w:b/>
                <w:i w:val="0"/>
                <w:color w:val="FFFFFF"/>
                <w:sz w:val="19"/>
              </w:rPr>
              <w:t>Págs.</w:t>
            </w:r>
          </w:p>
        </w:tc>
        <w:tc>
          <w:tcPr>
            <w:tcW w:type="dxa" w:w="2835"/>
            <w:shd w:val="clear" w:color="auto" w:fill="1F3864"/>
          </w:tcPr>
          <w:p>
            <w:pPr>
              <w:jc w:val="left"/>
            </w:pPr>
            <w:r>
              <w:rPr>
                <w:b/>
                <w:color w:val="FFFFFF"/>
                <w:sz w:val="19"/>
              </w:rPr>
            </w:r>
            <w:r>
              <w:rPr>
                <w:rFonts w:ascii="Arial" w:hAnsi="Arial"/>
                <w:b/>
                <w:i w:val="0"/>
                <w:color w:val="FFFFFF"/>
                <w:sz w:val="19"/>
              </w:rPr>
              <w:t>Conteúdo verificado</w:t>
            </w:r>
          </w:p>
        </w:tc>
        <w:tc>
          <w:tcPr>
            <w:tcW w:type="dxa" w:w="1191"/>
            <w:shd w:val="clear" w:color="auto" w:fill="1F3864"/>
          </w:tcPr>
          <w:p>
            <w:pPr>
              <w:jc w:val="left"/>
            </w:pPr>
            <w:r>
              <w:rPr>
                <w:b/>
                <w:color w:val="FFFFFF"/>
                <w:sz w:val="19"/>
              </w:rPr>
            </w:r>
            <w:r>
              <w:rPr>
                <w:rFonts w:ascii="Arial" w:hAnsi="Arial"/>
                <w:b/>
                <w:i w:val="0"/>
                <w:color w:val="FFFFFF"/>
                <w:sz w:val="19"/>
              </w:rPr>
              <w:t>Relevância</w:t>
            </w:r>
          </w:p>
        </w:tc>
      </w:tr>
      <w:tr>
        <w:tc>
          <w:tcPr>
            <w:tcW w:type="dxa" w:w="1361"/>
          </w:tcPr>
          <w:p>
            <w:pPr>
              <w:jc w:val="left"/>
            </w:pPr>
            <w:r>
              <w:rPr>
                <w:sz w:val="19"/>
              </w:rPr>
            </w:r>
            <w:r>
              <w:rPr>
                <w:rFonts w:ascii="Arial" w:hAnsi="Arial"/>
                <w:b w:val="0"/>
                <w:i w:val="0"/>
                <w:sz w:val="19"/>
              </w:rPr>
              <w:t>Petição inicial</w:t>
            </w:r>
          </w:p>
        </w:tc>
        <w:tc>
          <w:tcPr>
            <w:tcW w:type="dxa" w:w="1474"/>
          </w:tcPr>
          <w:p>
            <w:pPr>
              <w:jc w:val="left"/>
            </w:pPr>
            <w:r>
              <w:rPr>
                <w:sz w:val="19"/>
              </w:rPr>
            </w:r>
            <w:r>
              <w:rPr>
                <w:rFonts w:ascii="Arial" w:hAnsi="Arial"/>
                <w:b w:val="0"/>
                <w:i w:val="0"/>
                <w:sz w:val="19"/>
              </w:rPr>
              <w:t>Peça</w:t>
            </w:r>
          </w:p>
        </w:tc>
        <w:tc>
          <w:tcPr>
            <w:tcW w:type="dxa" w:w="907"/>
          </w:tcPr>
          <w:p>
            <w:pPr>
              <w:jc w:val="left"/>
            </w:pPr>
            <w:r>
              <w:rPr>
                <w:sz w:val="19"/>
              </w:rPr>
            </w:r>
            <w:r>
              <w:rPr>
                <w:rFonts w:ascii="Arial" w:hAnsi="Arial"/>
                <w:b w:val="0"/>
                <w:i w:val="0"/>
                <w:sz w:val="19"/>
              </w:rPr>
              <w:t>Autora</w:t>
            </w:r>
          </w:p>
        </w:tc>
        <w:tc>
          <w:tcPr>
            <w:tcW w:type="dxa" w:w="737"/>
          </w:tcPr>
          <w:p>
            <w:pPr>
              <w:jc w:val="left"/>
            </w:pPr>
            <w:r>
              <w:rPr>
                <w:sz w:val="19"/>
              </w:rPr>
            </w:r>
            <w:r>
              <w:rPr>
                <w:rFonts w:ascii="Arial" w:hAnsi="Arial"/>
                <w:b w:val="0"/>
                <w:i w:val="0"/>
                <w:sz w:val="19"/>
              </w:rPr>
              <w:t>11</w:t>
            </w:r>
          </w:p>
        </w:tc>
        <w:tc>
          <w:tcPr>
            <w:tcW w:type="dxa" w:w="2835"/>
          </w:tcPr>
          <w:p>
            <w:pPr>
              <w:jc w:val="left"/>
            </w:pPr>
            <w:r>
              <w:rPr>
                <w:sz w:val="19"/>
              </w:rPr>
            </w:r>
            <w:r>
              <w:rPr>
                <w:rFonts w:ascii="Arial" w:hAnsi="Arial"/>
                <w:b w:val="0"/>
                <w:i w:val="0"/>
                <w:sz w:val="19"/>
              </w:rPr>
              <w:t>Fatos, fundamentos, pedidos; Registrato (p. 2)</w:t>
            </w:r>
          </w:p>
        </w:tc>
        <w:tc>
          <w:tcPr>
            <w:tcW w:type="dxa" w:w="1191"/>
          </w:tcPr>
          <w:p>
            <w:pPr>
              <w:jc w:val="left"/>
            </w:pPr>
            <w:r>
              <w:rPr>
                <w:sz w:val="19"/>
              </w:rPr>
            </w:r>
            <w:r>
              <w:rPr>
                <w:rFonts w:ascii="Arial" w:hAnsi="Arial"/>
                <w:b w:val="0"/>
                <w:i w:val="0"/>
                <w:sz w:val="19"/>
              </w:rPr>
              <w:t>Alta</w:t>
            </w:r>
          </w:p>
        </w:tc>
      </w:tr>
      <w:tr>
        <w:tc>
          <w:tcPr>
            <w:tcW w:type="dxa" w:w="1361"/>
          </w:tcPr>
          <w:p>
            <w:pPr>
              <w:jc w:val="left"/>
            </w:pPr>
            <w:r>
              <w:rPr>
                <w:sz w:val="19"/>
              </w:rPr>
            </w:r>
            <w:r>
              <w:rPr>
                <w:rFonts w:ascii="Arial" w:hAnsi="Arial"/>
                <w:b w:val="0"/>
                <w:i w:val="0"/>
                <w:sz w:val="19"/>
              </w:rPr>
              <w:t>Contestação</w:t>
            </w:r>
          </w:p>
        </w:tc>
        <w:tc>
          <w:tcPr>
            <w:tcW w:type="dxa" w:w="1474"/>
          </w:tcPr>
          <w:p>
            <w:pPr>
              <w:jc w:val="left"/>
            </w:pPr>
            <w:r>
              <w:rPr>
                <w:sz w:val="19"/>
              </w:rPr>
            </w:r>
            <w:r>
              <w:rPr>
                <w:rFonts w:ascii="Arial" w:hAnsi="Arial"/>
                <w:b w:val="0"/>
                <w:i w:val="0"/>
                <w:sz w:val="19"/>
              </w:rPr>
              <w:t>Peça (Lima Feigelson)</w:t>
            </w:r>
          </w:p>
        </w:tc>
        <w:tc>
          <w:tcPr>
            <w:tcW w:type="dxa" w:w="907"/>
          </w:tcPr>
          <w:p>
            <w:pPr>
              <w:jc w:val="left"/>
            </w:pPr>
            <w:r>
              <w:rPr>
                <w:sz w:val="19"/>
              </w:rPr>
            </w:r>
            <w:r>
              <w:rPr>
                <w:rFonts w:ascii="Arial" w:hAnsi="Arial"/>
                <w:b w:val="0"/>
                <w:i w:val="0"/>
                <w:sz w:val="19"/>
              </w:rPr>
              <w:t>Ré</w:t>
            </w:r>
          </w:p>
        </w:tc>
        <w:tc>
          <w:tcPr>
            <w:tcW w:type="dxa" w:w="737"/>
          </w:tcPr>
          <w:p>
            <w:pPr>
              <w:jc w:val="left"/>
            </w:pPr>
            <w:r>
              <w:rPr>
                <w:sz w:val="19"/>
              </w:rPr>
            </w:r>
            <w:r>
              <w:rPr>
                <w:rFonts w:ascii="Arial" w:hAnsi="Arial"/>
                <w:b w:val="0"/>
                <w:i w:val="0"/>
                <w:sz w:val="19"/>
              </w:rPr>
              <w:t>21</w:t>
            </w:r>
          </w:p>
        </w:tc>
        <w:tc>
          <w:tcPr>
            <w:tcW w:type="dxa" w:w="2835"/>
          </w:tcPr>
          <w:p>
            <w:pPr>
              <w:jc w:val="left"/>
            </w:pPr>
            <w:r>
              <w:rPr>
                <w:sz w:val="19"/>
              </w:rPr>
            </w:r>
            <w:r>
              <w:rPr>
                <w:rFonts w:ascii="Arial" w:hAnsi="Arial"/>
                <w:b w:val="0"/>
                <w:i w:val="0"/>
                <w:sz w:val="19"/>
              </w:rPr>
              <w:t>Defesa sem anexos; reproduz o Registrato da Autora (pp. 3, 7); admite conta de 16/06/2022 a 27/08/2024</w:t>
            </w:r>
          </w:p>
        </w:tc>
        <w:tc>
          <w:tcPr>
            <w:tcW w:type="dxa" w:w="1191"/>
          </w:tcPr>
          <w:p>
            <w:pPr>
              <w:jc w:val="left"/>
            </w:pPr>
            <w:r>
              <w:rPr>
                <w:sz w:val="19"/>
              </w:rPr>
            </w:r>
            <w:r>
              <w:rPr>
                <w:rFonts w:ascii="Arial" w:hAnsi="Arial"/>
                <w:b w:val="0"/>
                <w:i w:val="0"/>
                <w:sz w:val="19"/>
              </w:rPr>
              <w:t>Alta</w:t>
            </w:r>
          </w:p>
        </w:tc>
      </w:tr>
    </w:tbl>
    <w:p>
      <w:pPr>
        <w:spacing w:after="40"/>
      </w:pPr>
    </w:p>
    <w:p>
      <w:pPr>
        <w:keepNext/>
        <w:spacing w:before="280" w:after="120"/>
        <w:jc w:val="both"/>
      </w:pPr>
      <w:r>
        <w:rPr>
          <w:rFonts w:ascii="Arial" w:hAnsi="Arial"/>
          <w:b/>
          <w:i w:val="0"/>
          <w:color w:val="1F3864"/>
        </w:rPr>
        <w:t>XI.B SÍNTESE DE INDÍCIOS</w:t>
      </w:r>
    </w:p>
    <w:tbl>
      <w:tblPr>
        <w:tblStyle w:val="TableGrid"/>
        <w:tblW w:type="auto" w:w="0"/>
        <w:jc w:val="center"/>
        <w:tblLook w:firstColumn="1" w:firstRow="1" w:lastColumn="0" w:lastRow="0" w:noHBand="0" w:noVBand="1" w:val="04A0"/>
      </w:tblPr>
      <w:tblGrid>
        <w:gridCol w:w="4535"/>
        <w:gridCol w:w="4535"/>
      </w:tblGrid>
      <w:tr>
        <w:tc>
          <w:tcPr>
            <w:tcW w:type="dxa" w:w="1417"/>
            <w:shd w:val="clear" w:color="auto" w:fill="1F3864"/>
          </w:tcPr>
          <w:p>
            <w:pPr>
              <w:jc w:val="left"/>
            </w:pPr>
            <w:r>
              <w:rPr>
                <w:b/>
                <w:color w:val="FFFFFF"/>
                <w:sz w:val="19"/>
              </w:rPr>
            </w:r>
            <w:r>
              <w:rPr>
                <w:rFonts w:ascii="Arial" w:hAnsi="Arial"/>
                <w:b/>
                <w:i w:val="0"/>
                <w:color w:val="FFFFFF"/>
                <w:sz w:val="19"/>
              </w:rPr>
              <w:t>Grau</w:t>
            </w:r>
          </w:p>
        </w:tc>
        <w:tc>
          <w:tcPr>
            <w:tcW w:type="dxa" w:w="7087"/>
            <w:shd w:val="clear" w:color="auto" w:fill="1F3864"/>
          </w:tcPr>
          <w:p>
            <w:pPr>
              <w:jc w:val="left"/>
            </w:pPr>
            <w:r>
              <w:rPr>
                <w:b/>
                <w:color w:val="FFFFFF"/>
                <w:sz w:val="19"/>
              </w:rPr>
            </w:r>
            <w:r>
              <w:rPr>
                <w:rFonts w:ascii="Arial" w:hAnsi="Arial"/>
                <w:b/>
                <w:i w:val="0"/>
                <w:color w:val="FFFFFF"/>
                <w:sz w:val="19"/>
              </w:rPr>
              <w:t>Indício</w:t>
            </w:r>
          </w:p>
        </w:tc>
      </w:tr>
      <w:tr>
        <w:tc>
          <w:tcPr>
            <w:tcW w:type="dxa" w:w="1417"/>
          </w:tcPr>
          <w:p>
            <w:pPr>
              <w:jc w:val="left"/>
            </w:pPr>
            <w:r>
              <w:rPr>
                <w:sz w:val="19"/>
              </w:rPr>
            </w:r>
            <w:r>
              <w:rPr>
                <w:rFonts w:ascii="Arial" w:hAnsi="Arial"/>
                <w:b w:val="0"/>
                <w:i w:val="0"/>
                <w:sz w:val="19"/>
              </w:rPr>
              <w:t>CRÍTICO</w:t>
            </w:r>
          </w:p>
        </w:tc>
        <w:tc>
          <w:tcPr>
            <w:tcW w:type="dxa" w:w="7087"/>
          </w:tcPr>
          <w:p>
            <w:pPr>
              <w:jc w:val="left"/>
            </w:pPr>
            <w:r>
              <w:rPr>
                <w:sz w:val="19"/>
              </w:rPr>
            </w:r>
            <w:r>
              <w:rPr>
                <w:rFonts w:ascii="Arial" w:hAnsi="Arial"/>
                <w:b w:val="0"/>
                <w:i w:val="0"/>
                <w:sz w:val="19"/>
              </w:rPr>
              <w:t>Ré não juntou nenhum documento da abertura da conta, nem prova de biometria, log ou titularidade de e-mail/celular.</w:t>
            </w:r>
          </w:p>
        </w:tc>
      </w:tr>
      <w:tr>
        <w:tc>
          <w:tcPr>
            <w:tcW w:type="dxa" w:w="1417"/>
          </w:tcPr>
          <w:p>
            <w:pPr>
              <w:jc w:val="left"/>
            </w:pPr>
            <w:r>
              <w:rPr>
                <w:sz w:val="19"/>
              </w:rPr>
            </w:r>
            <w:r>
              <w:rPr>
                <w:rFonts w:ascii="Arial" w:hAnsi="Arial"/>
                <w:b w:val="0"/>
                <w:i w:val="0"/>
                <w:sz w:val="19"/>
              </w:rPr>
              <w:t>CRÍTICO</w:t>
            </w:r>
          </w:p>
        </w:tc>
        <w:tc>
          <w:tcPr>
            <w:tcW w:type="dxa" w:w="7087"/>
          </w:tcPr>
          <w:p>
            <w:pPr>
              <w:jc w:val="left"/>
            </w:pPr>
            <w:r>
              <w:rPr>
                <w:sz w:val="19"/>
              </w:rPr>
            </w:r>
            <w:r>
              <w:rPr>
                <w:rFonts w:ascii="Arial" w:hAnsi="Arial"/>
                <w:b w:val="0"/>
                <w:i w:val="0"/>
                <w:sz w:val="19"/>
              </w:rPr>
              <w:t>Contradição: diz não ter relação com o consumidor final e, ao mesmo tempo, atesta a regularidade do onboarding.</w:t>
            </w:r>
          </w:p>
        </w:tc>
      </w:tr>
      <w:tr>
        <w:tc>
          <w:tcPr>
            <w:tcW w:type="dxa" w:w="1417"/>
          </w:tcPr>
          <w:p>
            <w:pPr>
              <w:jc w:val="left"/>
            </w:pPr>
            <w:r>
              <w:rPr>
                <w:sz w:val="19"/>
              </w:rPr>
            </w:r>
            <w:r>
              <w:rPr>
                <w:rFonts w:ascii="Arial" w:hAnsi="Arial"/>
                <w:b w:val="0"/>
                <w:i w:val="0"/>
                <w:sz w:val="19"/>
              </w:rPr>
              <w:t>CRÍTICO</w:t>
            </w:r>
          </w:p>
        </w:tc>
        <w:tc>
          <w:tcPr>
            <w:tcW w:type="dxa" w:w="7087"/>
          </w:tcPr>
          <w:p>
            <w:pPr>
              <w:jc w:val="left"/>
            </w:pPr>
            <w:r>
              <w:rPr>
                <w:sz w:val="19"/>
              </w:rPr>
            </w:r>
            <w:r>
              <w:rPr>
                <w:rFonts w:ascii="Arial" w:hAnsi="Arial"/>
                <w:b w:val="0"/>
                <w:i w:val="0"/>
                <w:sz w:val="19"/>
              </w:rPr>
              <w:t>Confissão de que "não há relação jurídica estabelecida entre as partes" (§65) e de que a Autora nunca utilizou os serviços (§83).</w:t>
            </w:r>
          </w:p>
        </w:tc>
      </w:tr>
      <w:tr>
        <w:tc>
          <w:tcPr>
            <w:tcW w:type="dxa" w:w="1417"/>
          </w:tcPr>
          <w:p>
            <w:pPr>
              <w:jc w:val="left"/>
            </w:pPr>
            <w:r>
              <w:rPr>
                <w:sz w:val="19"/>
              </w:rPr>
            </w:r>
            <w:r>
              <w:rPr>
                <w:rFonts w:ascii="Arial" w:hAnsi="Arial"/>
                <w:b w:val="0"/>
                <w:i w:val="0"/>
                <w:sz w:val="19"/>
              </w:rPr>
              <w:t>GRAVE</w:t>
            </w:r>
          </w:p>
        </w:tc>
        <w:tc>
          <w:tcPr>
            <w:tcW w:type="dxa" w:w="7087"/>
          </w:tcPr>
          <w:p>
            <w:pPr>
              <w:jc w:val="left"/>
            </w:pPr>
            <w:r>
              <w:rPr>
                <w:sz w:val="19"/>
              </w:rPr>
            </w:r>
            <w:r>
              <w:rPr>
                <w:rFonts w:ascii="Arial" w:hAnsi="Arial"/>
                <w:b w:val="0"/>
                <w:i w:val="0"/>
                <w:sz w:val="19"/>
              </w:rPr>
              <w:t>Ré não identifica o "Parceiro" nem junta contrato com ele; reconhece que fornece a infraestrutura "regulatória" e atuou como "hospedeira" (§§15, 49).</w:t>
            </w:r>
          </w:p>
        </w:tc>
      </w:tr>
      <w:tr>
        <w:tc>
          <w:tcPr>
            <w:tcW w:type="dxa" w:w="1417"/>
          </w:tcPr>
          <w:p>
            <w:pPr>
              <w:jc w:val="left"/>
            </w:pPr>
            <w:r>
              <w:rPr>
                <w:sz w:val="19"/>
              </w:rPr>
            </w:r>
            <w:r>
              <w:rPr>
                <w:rFonts w:ascii="Arial" w:hAnsi="Arial"/>
                <w:b w:val="0"/>
                <w:i w:val="0"/>
                <w:sz w:val="19"/>
              </w:rPr>
              <w:t>GRAVE</w:t>
            </w:r>
          </w:p>
        </w:tc>
        <w:tc>
          <w:tcPr>
            <w:tcW w:type="dxa" w:w="7087"/>
          </w:tcPr>
          <w:p>
            <w:pPr>
              <w:jc w:val="left"/>
            </w:pPr>
            <w:r>
              <w:rPr>
                <w:sz w:val="19"/>
              </w:rPr>
            </w:r>
            <w:r>
              <w:rPr>
                <w:rFonts w:ascii="Arial" w:hAnsi="Arial"/>
                <w:b w:val="0"/>
                <w:i w:val="0"/>
                <w:sz w:val="19"/>
              </w:rPr>
              <w:t>Ré não impugnou a reclamação telefônica sem resposta, nem a violação à LGPD, nem a Res. CMN 4.753/2019.</w:t>
            </w:r>
          </w:p>
        </w:tc>
      </w:tr>
      <w:tr>
        <w:tc>
          <w:tcPr>
            <w:tcW w:type="dxa" w:w="1417"/>
          </w:tcPr>
          <w:p>
            <w:pPr>
              <w:jc w:val="left"/>
            </w:pPr>
            <w:r>
              <w:rPr>
                <w:sz w:val="19"/>
              </w:rPr>
            </w:r>
            <w:r>
              <w:rPr>
                <w:rFonts w:ascii="Arial" w:hAnsi="Arial"/>
                <w:b w:val="0"/>
                <w:i w:val="0"/>
                <w:sz w:val="19"/>
              </w:rPr>
              <w:t>RELEVANTE</w:t>
            </w:r>
          </w:p>
        </w:tc>
        <w:tc>
          <w:tcPr>
            <w:tcW w:type="dxa" w:w="7087"/>
          </w:tcPr>
          <w:p>
            <w:pPr>
              <w:jc w:val="left"/>
            </w:pPr>
            <w:r>
              <w:rPr>
                <w:sz w:val="19"/>
              </w:rPr>
            </w:r>
            <w:r>
              <w:rPr>
                <w:rFonts w:ascii="Arial" w:hAnsi="Arial"/>
                <w:b w:val="0"/>
                <w:i w:val="0"/>
                <w:sz w:val="19"/>
              </w:rPr>
              <w:t>Defesa-modelo: rebate "dano existencial" não pedido; fala em "as rés" e "movimentações financeiras" que não constam da inicial.</w:t>
            </w:r>
          </w:p>
        </w:tc>
      </w:tr>
    </w:tbl>
    <w:p>
      <w:pPr>
        <w:spacing w:after="40"/>
      </w:pPr>
    </w:p>
    <w:p>
      <w:pPr>
        <w:keepNext/>
        <w:spacing w:before="280" w:after="120"/>
        <w:jc w:val="both"/>
        <w:pBdr>
          <w:bottom w:val="single" w:sz="6" w:space="1" w:color="1F3864"/>
        </w:pBdr>
      </w:pPr>
      <w:r>
        <w:rPr>
          <w:rFonts w:ascii="Arial" w:hAnsi="Arial"/>
          <w:b/>
          <w:i w:val="0"/>
          <w:color w:val="1F3864"/>
        </w:rPr>
        <w:t>XII — DOS PEDIDOS</w:t>
      </w:r>
    </w:p>
    <w:p>
      <w:pPr>
        <w:spacing w:line="360" w:lineRule="auto" w:after="120"/>
        <w:ind w:firstLine="709"/>
        <w:jc w:val="both"/>
      </w:pPr>
      <w:r>
        <w:rPr>
          <w:rFonts w:ascii="Arial" w:hAnsi="Arial"/>
          <w:b w:val="0"/>
          <w:i w:val="0"/>
        </w:rPr>
        <w:t>Ante o exposto, requer a Autora:</w:t>
      </w:r>
    </w:p>
    <w:p>
      <w:pPr>
        <w:spacing w:line="360" w:lineRule="auto" w:after="120"/>
        <w:jc w:val="both"/>
      </w:pPr>
      <w:r>
        <w:rPr>
          <w:rFonts w:ascii="Arial" w:hAnsi="Arial"/>
          <w:b w:val="0"/>
          <w:i w:val="0"/>
        </w:rPr>
        <w:t xml:space="preserve">a) a </w:t>
      </w:r>
      <w:r>
        <w:rPr>
          <w:rFonts w:ascii="Arial" w:hAnsi="Arial"/>
          <w:b/>
          <w:i w:val="0"/>
        </w:rPr>
        <w:t>rejeição</w:t>
      </w:r>
      <w:r>
        <w:rPr>
          <w:rFonts w:ascii="Arial" w:hAnsi="Arial"/>
          <w:b w:val="0"/>
          <w:i w:val="0"/>
        </w:rPr>
        <w:t xml:space="preserve"> de todas as preliminares arguidas (ilegitimidade passiva, perda superveniente do objeto/falta de interesse de agir e ausência de reclamação prévia);</w:t>
      </w:r>
    </w:p>
    <w:p>
      <w:pPr>
        <w:spacing w:line="360" w:lineRule="auto" w:after="120"/>
        <w:jc w:val="both"/>
      </w:pPr>
      <w:r>
        <w:rPr>
          <w:rFonts w:ascii="Arial" w:hAnsi="Arial"/>
          <w:b w:val="0"/>
          <w:i w:val="0"/>
        </w:rPr>
        <w:t xml:space="preserve">b) o reconhecimento da </w:t>
      </w:r>
      <w:r>
        <w:rPr>
          <w:rFonts w:ascii="Arial" w:hAnsi="Arial"/>
          <w:b/>
          <w:i w:val="0"/>
        </w:rPr>
        <w:t>inidoneidade probatória</w:t>
      </w:r>
      <w:r>
        <w:rPr>
          <w:rFonts w:ascii="Arial" w:hAnsi="Arial"/>
          <w:b w:val="0"/>
          <w:i w:val="0"/>
        </w:rPr>
        <w:t xml:space="preserve"> das meras alegações da Ré sobre validação biométrica e documentação, desacompanhadas de relatório técnico ou documento;</w:t>
      </w:r>
    </w:p>
    <w:p>
      <w:pPr>
        <w:spacing w:line="360" w:lineRule="auto" w:after="120"/>
        <w:jc w:val="both"/>
      </w:pPr>
      <w:r>
        <w:rPr>
          <w:rFonts w:ascii="Arial" w:hAnsi="Arial"/>
          <w:b w:val="0"/>
          <w:i w:val="0"/>
        </w:rPr>
        <w:t xml:space="preserve">c) a </w:t>
      </w:r>
      <w:r>
        <w:rPr>
          <w:rFonts w:ascii="Arial" w:hAnsi="Arial"/>
          <w:b/>
          <w:i w:val="0"/>
        </w:rPr>
        <w:t>manutenção da inversão do ônus da prova</w:t>
      </w:r>
      <w:r>
        <w:rPr>
          <w:rFonts w:ascii="Arial" w:hAnsi="Arial"/>
          <w:b w:val="0"/>
          <w:i w:val="0"/>
        </w:rPr>
        <w:t xml:space="preserve"> (art. 6º, VIII, CDC);</w:t>
      </w:r>
    </w:p>
    <w:p>
      <w:pPr>
        <w:spacing w:line="360" w:lineRule="auto" w:after="120"/>
        <w:jc w:val="both"/>
      </w:pPr>
      <w:r>
        <w:rPr>
          <w:rFonts w:ascii="Arial" w:hAnsi="Arial"/>
          <w:b w:val="0"/>
          <w:i w:val="0"/>
        </w:rPr>
        <w:t>d) o julgamento antecipado do mérito (art. 355, I, CPC), por tratar-se de matéria cuja prova é documental e já está nos autos;</w:t>
      </w:r>
    </w:p>
    <w:p>
      <w:pPr>
        <w:spacing w:line="360" w:lineRule="auto" w:after="120"/>
        <w:jc w:val="both"/>
      </w:pPr>
      <w:r>
        <w:rPr>
          <w:rFonts w:ascii="Arial" w:hAnsi="Arial"/>
          <w:b w:val="0"/>
          <w:i w:val="0"/>
        </w:rPr>
        <w:t xml:space="preserve">e) a </w:t>
      </w:r>
      <w:r>
        <w:rPr>
          <w:rFonts w:ascii="Arial" w:hAnsi="Arial"/>
          <w:b/>
          <w:i w:val="0"/>
        </w:rPr>
        <w:t>procedência integral</w:t>
      </w:r>
      <w:r>
        <w:rPr>
          <w:rFonts w:ascii="Arial" w:hAnsi="Arial"/>
          <w:b w:val="0"/>
          <w:i w:val="0"/>
        </w:rPr>
        <w:t xml:space="preserve"> dos pedidos da inicial, para: (1) declarar a </w:t>
      </w:r>
      <w:r>
        <w:rPr>
          <w:rFonts w:ascii="Arial" w:hAnsi="Arial"/>
          <w:b/>
          <w:i w:val="0"/>
        </w:rPr>
        <w:t>inexistência da relação jurídica</w:t>
      </w:r>
      <w:r>
        <w:rPr>
          <w:rFonts w:ascii="Arial" w:hAnsi="Arial"/>
          <w:b w:val="0"/>
          <w:i w:val="0"/>
        </w:rPr>
        <w:t xml:space="preserve"> entre a Autora e a Ré, com a desconstituição de todos os vínculos, contas e produtos vinculados ao seu CPF e dos débitos eventualmente decorrentes; (2) condenar a Ré à </w:t>
      </w:r>
      <w:r>
        <w:rPr>
          <w:rFonts w:ascii="Arial" w:hAnsi="Arial"/>
          <w:b/>
          <w:i w:val="0"/>
        </w:rPr>
        <w:t>obrigação de fazer</w:t>
      </w:r>
      <w:r>
        <w:rPr>
          <w:rFonts w:ascii="Arial" w:hAnsi="Arial"/>
          <w:b w:val="0"/>
          <w:i w:val="0"/>
        </w:rPr>
        <w:t xml:space="preserve"> consistente na exclusão integral e irretratável dos dados pessoais da Autora de seus sistemas e dos de parceiros/conveniados (art. 18, VI, LGPD), sob pena de multa diária; (3) condenar a Ré ao pagamento de </w:t>
      </w:r>
      <w:r>
        <w:rPr>
          <w:rFonts w:ascii="Arial" w:hAnsi="Arial"/>
          <w:b/>
          <w:i w:val="0"/>
        </w:rPr>
        <w:t>R$ 8.000,00 a título de danos morais</w:t>
      </w:r>
      <w:r>
        <w:rPr>
          <w:rFonts w:ascii="Arial" w:hAnsi="Arial"/>
          <w:b w:val="0"/>
          <w:i w:val="0"/>
        </w:rPr>
        <w:t xml:space="preserve">, com correção monetária desde o arbitramento (Súmula 362/STJ) e juros de mora conforme a inicial; e (4) condenar a Ré ao pagamento de </w:t>
      </w:r>
      <w:r>
        <w:rPr>
          <w:rFonts w:ascii="Arial" w:hAnsi="Arial"/>
          <w:b/>
          <w:i w:val="0"/>
        </w:rPr>
        <w:t>R$ 2.000,00 a título de desvio produtivo do consumidor</w:t>
      </w:r>
      <w:r>
        <w:rPr>
          <w:rFonts w:ascii="Arial" w:hAnsi="Arial"/>
          <w:b w:val="0"/>
          <w:i w:val="0"/>
        </w:rPr>
        <w:t>;</w:t>
      </w:r>
    </w:p>
    <w:p>
      <w:pPr>
        <w:spacing w:line="360" w:lineRule="auto" w:after="120"/>
        <w:jc w:val="both"/>
      </w:pPr>
      <w:r>
        <w:rPr>
          <w:rFonts w:ascii="Arial" w:hAnsi="Arial"/>
          <w:b w:val="0"/>
          <w:i w:val="0"/>
        </w:rPr>
        <w:t xml:space="preserve">f) a condenação da Ré em honorários advocatícios, em caso de recurso </w:t>
      </w:r>
      <w:r>
        <w:rPr>
          <w:rFonts w:ascii="Arial" w:hAnsi="Arial"/>
          <w:b/>
          <w:i w:val="0"/>
          <w:color w:val="C00000"/>
        </w:rPr>
        <w:t>[VERIFICAR ANTES DE PROTOCOLAR: art. 55 da Lei 9.099/95]</w:t>
      </w:r>
      <w:r>
        <w:rPr>
          <w:rFonts w:ascii="Arial" w:hAnsi="Arial"/>
          <w:b w:val="0"/>
          <w:i w:val="0"/>
        </w:rPr>
        <w:t>; e</w:t>
      </w:r>
    </w:p>
    <w:p>
      <w:pPr>
        <w:spacing w:line="360" w:lineRule="auto" w:after="120"/>
        <w:jc w:val="both"/>
      </w:pPr>
      <w:r>
        <w:rPr>
          <w:rFonts w:ascii="Arial" w:hAnsi="Arial"/>
          <w:b w:val="0"/>
          <w:i w:val="0"/>
        </w:rPr>
        <w:t>g) a ciência da presente manifestação, sendo que as intimações pertinentes à Autora devem ser feitas em nome do advogado signatário.</w:t>
      </w:r>
    </w:p>
    <w:p>
      <w:pPr>
        <w:spacing w:line="360" w:lineRule="auto" w:after="120"/>
        <w:ind w:firstLine="709"/>
        <w:jc w:val="both"/>
      </w:pPr>
      <w:r>
        <w:rPr>
          <w:rFonts w:ascii="Arial" w:hAnsi="Arial"/>
          <w:b w:val="0"/>
          <w:i w:val="0"/>
        </w:rPr>
        <w:t>Nestes termos, pede deferimento.</w:t>
      </w:r>
    </w:p>
    <w:p>
      <w:pPr>
        <w:jc w:val="center"/>
      </w:pPr>
      <w:r>
        <w:rPr>
          <w:rFonts w:ascii="Arial" w:hAnsi="Arial"/>
          <w:b w:val="0"/>
          <w:i w:val="0"/>
        </w:rPr>
        <w:t>Salvador/BA, 23 de outubro de 2026.</w:t>
      </w:r>
    </w:p>
    <w:p/>
    <w:p>
      <w:pPr>
        <w:jc w:val="center"/>
      </w:pPr>
      <w:r>
        <w:rPr>
          <w:rFonts w:ascii="Arial" w:hAnsi="Arial"/>
          <w:b w:val="0"/>
          <w:i w:val="0"/>
        </w:rPr>
        <w:t>______________________________________</w:t>
        <w:br/>
      </w:r>
      <w:r>
        <w:rPr>
          <w:rFonts w:ascii="Arial" w:hAnsi="Arial"/>
          <w:b/>
          <w:i w:val="0"/>
        </w:rPr>
        <w:t>CLEYTON DA SILVA BARBOSA</w:t>
        <w:br/>
        <w:t>OAB/MS 17.311</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