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both"/>
      </w:pPr>
      <w:r>
        <w:rPr>
          <w:b/>
          <w:i w:val="0"/>
        </w:rPr>
        <w:t>EXCELENTÍSSIMO(A) SENHOR(A) DOUTOR(A) JUIZ(A) DE DIREITO DO JUIZADO ESPECIAL CÍVEL DA COMARCA DE SALVADOR/BA</w:t>
      </w:r>
    </w:p>
    <w:p>
      <w:pPr>
        <w:spacing w:after="160" w:line="276" w:lineRule="auto"/>
        <w:jc w:val="both"/>
      </w:pPr>
      <w:r>
        <w:rPr>
          <w:b/>
          <w:i w:val="0"/>
        </w:rPr>
        <w:t>EMENTA: Ação declaratória de ineficácia/inexistência de contratação de seguro c/c repetição de indébito e indenização por danos morais. Seguro prestamista financiado em dois contratos de crédito consignado (CLT), sem seguradora identificada e sem apólice ou certificado. Vinculação a contrato de empréstimo. Venda casada — CDC, art. 39, I e IV. Tema 972/STJ. Dever legal de entrega da apólice — CC, art. 760. Res. CNSP nº 382/2020. CDC, arts. 6º, III e VIII, 14, 39, e 42, § único. Repetição em dobro — EAREsp 676.608/RS. Boa-fé objetiva — CC, art. 422. Súmula 297/STJ. Responsabilidade objetiva. Teoria do Desvio Produtivo do Consumidor. Tutela de urgência (CPC, art. 300).</w:t>
      </w:r>
    </w:p>
    <w:p>
      <w:pPr>
        <w:spacing w:after="160" w:line="276" w:lineRule="auto"/>
        <w:ind w:firstLine="709"/>
        <w:jc w:val="both"/>
      </w:pPr>
      <w:r>
        <w:rPr>
          <w:b w:val="0"/>
          <w:i w:val="0"/>
        </w:rPr>
        <w:t xml:space="preserve">FILIPE DOS SANTOS ALVES, brasileiro, casado, empregado sob o regime da Consolidação das Leis do Trabalho, portador do RG n.º </w:t>
      </w:r>
      <w:r>
        <w:rPr>
          <w:b/>
          <w:i w:val="0"/>
          <w:highlight w:val="yellow"/>
        </w:rPr>
        <w:t>[PREENCHER – nº do RG do Autor, não legível nos documentos da pasta]</w:t>
      </w:r>
      <w:r>
        <w:rPr>
          <w:b w:val="0"/>
          <w:i w:val="0"/>
        </w:rPr>
        <w:t>, inscrito no CPF sob o n.º 124.797.534-76, nascido em 03/05/1999, residente e domiciliado na Rua Santa Rita, n.º 15, bairro Clima Bom, CEP 57071-120, Maceió/AL, sem endereço eletrônico, por seu procurador signatário, instrumento de mandato ora incluso, vem, respeitosamente, à presença de Vossa Excelência, com fundamento nos arts. 319 e seguintes do CPC e no Código de Defesa do Consumidor (Lei nº 8.078/1990), propor a presente</w:t>
      </w:r>
    </w:p>
    <w:p>
      <w:pPr>
        <w:spacing w:after="160" w:line="276" w:lineRule="auto"/>
        <w:jc w:val="center"/>
      </w:pPr>
      <w:r>
        <w:rPr>
          <w:b/>
          <w:i w:val="0"/>
        </w:rPr>
        <w:t>AÇÃO DECLARATÓRIA DE INEFICÁCIA/INEXISTÊNCIA DE CONTRATAÇÃO DE SEGURO</w:t>
      </w:r>
    </w:p>
    <w:p>
      <w:pPr>
        <w:spacing w:after="160" w:line="276" w:lineRule="auto"/>
        <w:jc w:val="center"/>
      </w:pPr>
      <w:r>
        <w:rPr>
          <w:b/>
          <w:i w:val="0"/>
        </w:rPr>
        <w:t>c/c REPETIÇÃO DE INDÉBITO EM DOBRO e DANOS MORAIS</w:t>
      </w:r>
    </w:p>
    <w:p>
      <w:pPr>
        <w:spacing w:after="160" w:line="276" w:lineRule="auto"/>
        <w:jc w:val="center"/>
      </w:pPr>
      <w:r>
        <w:rPr>
          <w:b/>
          <w:i w:val="0"/>
        </w:rPr>
        <w:t>com pedido de TUTELA DE URGÊNCIA ANTECIPADA (art. 300, CPC)</w:t>
      </w:r>
    </w:p>
    <w:p>
      <w:pPr>
        <w:spacing w:after="160" w:line="276" w:lineRule="auto"/>
        <w:ind w:firstLine="709"/>
        <w:jc w:val="both"/>
      </w:pPr>
      <w:r>
        <w:rPr>
          <w:b w:val="0"/>
          <w:i w:val="0"/>
        </w:rPr>
        <w:t>em face de FACTA FINANCEIRA S.A. CRÉDITO, FINANCIAMENTO E INVESTIMENTO, pessoa jurídica de direito privado, inscrita no CNPJ sob nº 15.581.638/0001-30, com sede na Rua dos Andradas, nº 1409, salas 701 e 702, Centro, CEP 90020-011, Porto Alegre/RS, e-mail desconhecido, doravante denominada simplesmente RÉ, pelos fatos e fundamentos a seguir expostos. Requer-se, desde já, a determinação de que a Ré identifique a seguradora e a apólice a que se vinculou o prêmio e, uma vez identificada, a inclusão da seguradora no polo passivo, pois o contrato informa apenas que o valor foi repassado "à empresa contratada" (cláusula 52).</w:t>
      </w:r>
    </w:p>
    <w:p>
      <w:pPr>
        <w:keepNext/>
        <w:spacing w:after="160" w:line="276" w:lineRule="auto" w:before="200"/>
        <w:jc w:val="both"/>
      </w:pPr>
      <w:r>
        <w:rPr>
          <w:b/>
          <w:i w:val="0"/>
        </w:rPr>
        <w:t>I – DA GRATUIDADE DA JUSTIÇA</w:t>
      </w:r>
    </w:p>
    <w:p>
      <w:pPr>
        <w:spacing w:after="160" w:line="276" w:lineRule="auto"/>
        <w:ind w:firstLine="709"/>
        <w:jc w:val="both"/>
      </w:pPr>
      <w:r>
        <w:rPr>
          <w:b w:val="0"/>
          <w:i w:val="0"/>
        </w:rPr>
        <w:t>A parte Autora é trabalhador assalariado, empregado celetista, com renda que apenas lhe garante a subsistência própria e da família. O custeio das despesas processuais comprometeria diretamente seu sustento. Requer, portanto, o deferimento dos benefícios da assistência judiciária gratuita, nos termos do art. 5º, LXXIV, da Constituição Federal e dos arts. 98 e seguintes do CPC, conforme declaração de hipossuficiência juntada como documento anexo.</w:t>
      </w:r>
    </w:p>
    <w:p>
      <w:pPr>
        <w:spacing w:after="160" w:line="276" w:lineRule="auto"/>
        <w:ind w:firstLine="709"/>
        <w:jc w:val="both"/>
      </w:pPr>
      <w:r>
        <w:rPr>
          <w:b w:val="0"/>
          <w:i w:val="0"/>
        </w:rPr>
        <w:t>O Superior Tribunal de Justiça pacificou que a simples declaração de hipossuficiência é suficiente para a concessão do benefício (AgInt no REsp 1.644.405/RS, Rel. Min. Nancy Andrighi, Terceira Turma, DJe 05/04/2017).</w:t>
      </w:r>
    </w:p>
    <w:p>
      <w:pPr>
        <w:keepNext/>
        <w:spacing w:after="160" w:line="276" w:lineRule="auto" w:before="200"/>
        <w:jc w:val="both"/>
      </w:pPr>
      <w:r>
        <w:rPr>
          <w:b/>
          <w:i w:val="0"/>
        </w:rPr>
        <w:t>II – DOS FATOS</w:t>
      </w:r>
    </w:p>
    <w:p>
      <w:pPr>
        <w:keepNext/>
        <w:spacing w:after="160" w:line="276" w:lineRule="auto" w:before="200"/>
        <w:jc w:val="both"/>
      </w:pPr>
      <w:r>
        <w:rPr>
          <w:b/>
          <w:i w:val="0"/>
        </w:rPr>
        <w:t>2.1. Da cobrança de seguro prestamista financiado nos dois contratos</w:t>
      </w:r>
    </w:p>
    <w:p>
      <w:pPr>
        <w:spacing w:after="160" w:line="276" w:lineRule="auto"/>
        <w:ind w:firstLine="709"/>
        <w:jc w:val="both"/>
      </w:pPr>
      <w:r>
        <w:rPr>
          <w:b w:val="0"/>
          <w:i w:val="0"/>
        </w:rPr>
        <w:t>A parte Autora firmou eletronicamente com a Ré duas Cédulas de Crédito Bancário (Crédito do Trabalhador – consignado CLT), ambas com 48 parcelas, em 05/08/2026 e 13/08/2026, que embutiram, no valor financiado, a cobrança de seguro prestamista:</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sz w:val="20"/>
              </w:rPr>
            </w:r>
          </w:p>
        </w:tc>
        <w:tc>
          <w:tcPr>
            <w:tcW w:type="dxa" w:w="2946"/>
          </w:tcPr>
          <w:p>
            <w:pPr>
              <w:jc w:val="center"/>
            </w:pPr>
            <w:r>
              <w:rPr>
                <w:sz w:val="20"/>
              </w:rPr>
            </w:r>
            <w:r>
              <w:rPr>
                <w:b/>
                <w:i w:val="0"/>
                <w:sz w:val="20"/>
              </w:rPr>
              <w:t>CONTRATO 1</w:t>
            </w:r>
          </w:p>
        </w:tc>
        <w:tc>
          <w:tcPr>
            <w:tcW w:type="dxa" w:w="2946"/>
          </w:tcPr>
          <w:p>
            <w:pPr>
              <w:jc w:val="center"/>
            </w:pPr>
            <w:r>
              <w:rPr>
                <w:sz w:val="20"/>
              </w:rPr>
            </w:r>
            <w:r>
              <w:rPr>
                <w:b/>
                <w:i w:val="0"/>
                <w:sz w:val="20"/>
              </w:rPr>
              <w:t>CONTRATO 2</w:t>
            </w:r>
          </w:p>
        </w:tc>
      </w:tr>
      <w:tr>
        <w:tc>
          <w:tcPr>
            <w:tcW w:type="dxa" w:w="2946"/>
          </w:tcPr>
          <w:p>
            <w:pPr>
              <w:jc w:val="center"/>
            </w:pPr>
            <w:r>
              <w:rPr>
                <w:sz w:val="20"/>
              </w:rPr>
            </w:r>
            <w:r>
              <w:rPr>
                <w:b w:val="0"/>
                <w:i w:val="0"/>
                <w:sz w:val="20"/>
              </w:rPr>
              <w:t>CCB / Proposta</w:t>
            </w:r>
          </w:p>
        </w:tc>
        <w:tc>
          <w:tcPr>
            <w:tcW w:type="dxa" w:w="2946"/>
          </w:tcPr>
          <w:p>
            <w:pPr>
              <w:jc w:val="center"/>
            </w:pPr>
            <w:r>
              <w:rPr>
                <w:sz w:val="20"/>
              </w:rPr>
            </w:r>
            <w:r>
              <w:rPr>
                <w:b w:val="0"/>
                <w:i w:val="0"/>
                <w:sz w:val="20"/>
              </w:rPr>
              <w:t>266801120000 / 122798002</w:t>
            </w:r>
          </w:p>
        </w:tc>
        <w:tc>
          <w:tcPr>
            <w:tcW w:type="dxa" w:w="2946"/>
          </w:tcPr>
          <w:p>
            <w:pPr>
              <w:jc w:val="center"/>
            </w:pPr>
            <w:r>
              <w:rPr>
                <w:sz w:val="20"/>
              </w:rPr>
            </w:r>
            <w:r>
              <w:rPr>
                <w:b w:val="0"/>
                <w:i w:val="0"/>
                <w:sz w:val="20"/>
              </w:rPr>
              <w:t>267393180003 / 122924889</w:t>
            </w:r>
          </w:p>
        </w:tc>
      </w:tr>
      <w:tr>
        <w:tc>
          <w:tcPr>
            <w:tcW w:type="dxa" w:w="2946"/>
          </w:tcPr>
          <w:p>
            <w:pPr>
              <w:jc w:val="center"/>
            </w:pPr>
            <w:r>
              <w:rPr>
                <w:sz w:val="20"/>
              </w:rPr>
            </w:r>
            <w:r>
              <w:rPr>
                <w:b w:val="0"/>
                <w:i w:val="0"/>
                <w:sz w:val="20"/>
              </w:rPr>
              <w:t>Assinatura eletrônica</w:t>
            </w:r>
          </w:p>
        </w:tc>
        <w:tc>
          <w:tcPr>
            <w:tcW w:type="dxa" w:w="2946"/>
          </w:tcPr>
          <w:p>
            <w:pPr>
              <w:jc w:val="center"/>
            </w:pPr>
            <w:r>
              <w:rPr>
                <w:sz w:val="20"/>
              </w:rPr>
            </w:r>
            <w:r>
              <w:rPr>
                <w:b w:val="0"/>
                <w:i w:val="0"/>
                <w:sz w:val="20"/>
              </w:rPr>
              <w:t>05/08/2026</w:t>
            </w:r>
          </w:p>
        </w:tc>
        <w:tc>
          <w:tcPr>
            <w:tcW w:type="dxa" w:w="2946"/>
          </w:tcPr>
          <w:p>
            <w:pPr>
              <w:jc w:val="center"/>
            </w:pPr>
            <w:r>
              <w:rPr>
                <w:sz w:val="20"/>
              </w:rPr>
            </w:r>
            <w:r>
              <w:rPr>
                <w:b w:val="0"/>
                <w:i w:val="0"/>
                <w:sz w:val="20"/>
              </w:rPr>
              <w:t>13/08/2026</w:t>
            </w:r>
          </w:p>
        </w:tc>
      </w:tr>
      <w:tr>
        <w:tc>
          <w:tcPr>
            <w:tcW w:type="dxa" w:w="2946"/>
          </w:tcPr>
          <w:p>
            <w:pPr>
              <w:jc w:val="center"/>
            </w:pPr>
            <w:r>
              <w:rPr>
                <w:sz w:val="20"/>
              </w:rPr>
            </w:r>
            <w:r>
              <w:rPr>
                <w:b w:val="0"/>
                <w:i w:val="0"/>
                <w:sz w:val="20"/>
              </w:rPr>
              <w:t>Valor liberado ao cliente</w:t>
            </w:r>
          </w:p>
        </w:tc>
        <w:tc>
          <w:tcPr>
            <w:tcW w:type="dxa" w:w="2946"/>
          </w:tcPr>
          <w:p>
            <w:pPr>
              <w:jc w:val="center"/>
            </w:pPr>
            <w:r>
              <w:rPr>
                <w:sz w:val="20"/>
              </w:rPr>
            </w:r>
            <w:r>
              <w:rPr>
                <w:b w:val="0"/>
                <w:i w:val="0"/>
                <w:sz w:val="20"/>
              </w:rPr>
              <w:t>R$ 5.000,00</w:t>
            </w:r>
          </w:p>
        </w:tc>
        <w:tc>
          <w:tcPr>
            <w:tcW w:type="dxa" w:w="2946"/>
          </w:tcPr>
          <w:p>
            <w:pPr>
              <w:jc w:val="center"/>
            </w:pPr>
            <w:r>
              <w:rPr>
                <w:sz w:val="20"/>
              </w:rPr>
            </w:r>
            <w:r>
              <w:rPr>
                <w:b w:val="0"/>
                <w:i w:val="0"/>
                <w:sz w:val="20"/>
              </w:rPr>
              <w:t>R$ 1.000,00</w:t>
            </w:r>
          </w:p>
        </w:tc>
      </w:tr>
      <w:tr>
        <w:tc>
          <w:tcPr>
            <w:tcW w:type="dxa" w:w="2946"/>
          </w:tcPr>
          <w:p>
            <w:pPr>
              <w:jc w:val="center"/>
            </w:pPr>
            <w:r>
              <w:rPr>
                <w:sz w:val="20"/>
              </w:rPr>
            </w:r>
            <w:r>
              <w:rPr>
                <w:b w:val="0"/>
                <w:i w:val="0"/>
                <w:sz w:val="20"/>
              </w:rPr>
              <w:t>Seguro prestamista financiado</w:t>
            </w:r>
          </w:p>
        </w:tc>
        <w:tc>
          <w:tcPr>
            <w:tcW w:type="dxa" w:w="2946"/>
          </w:tcPr>
          <w:p>
            <w:pPr>
              <w:jc w:val="center"/>
            </w:pPr>
            <w:r>
              <w:rPr>
                <w:sz w:val="20"/>
              </w:rPr>
            </w:r>
            <w:r>
              <w:rPr>
                <w:b w:val="0"/>
                <w:i w:val="0"/>
                <w:sz w:val="20"/>
              </w:rPr>
              <w:t>R$ 650,00</w:t>
            </w:r>
          </w:p>
        </w:tc>
        <w:tc>
          <w:tcPr>
            <w:tcW w:type="dxa" w:w="2946"/>
          </w:tcPr>
          <w:p>
            <w:pPr>
              <w:jc w:val="center"/>
            </w:pPr>
            <w:r>
              <w:rPr>
                <w:sz w:val="20"/>
              </w:rPr>
            </w:r>
            <w:r>
              <w:rPr>
                <w:b w:val="0"/>
                <w:i w:val="0"/>
                <w:sz w:val="20"/>
              </w:rPr>
              <w:t>R$ 130,00</w:t>
            </w:r>
          </w:p>
        </w:tc>
      </w:tr>
      <w:tr>
        <w:tc>
          <w:tcPr>
            <w:tcW w:type="dxa" w:w="2946"/>
          </w:tcPr>
          <w:p>
            <w:pPr>
              <w:jc w:val="center"/>
            </w:pPr>
            <w:r>
              <w:rPr>
                <w:sz w:val="20"/>
              </w:rPr>
            </w:r>
            <w:r>
              <w:rPr>
                <w:b w:val="0"/>
                <w:i w:val="0"/>
                <w:sz w:val="20"/>
              </w:rPr>
              <w:t>IOF financiado</w:t>
            </w:r>
          </w:p>
        </w:tc>
        <w:tc>
          <w:tcPr>
            <w:tcW w:type="dxa" w:w="2946"/>
          </w:tcPr>
          <w:p>
            <w:pPr>
              <w:jc w:val="center"/>
            </w:pPr>
            <w:r>
              <w:rPr>
                <w:sz w:val="20"/>
              </w:rPr>
            </w:r>
            <w:r>
              <w:rPr>
                <w:b w:val="0"/>
                <w:i w:val="0"/>
                <w:sz w:val="20"/>
              </w:rPr>
              <w:t>R$ 162,83</w:t>
            </w:r>
          </w:p>
        </w:tc>
        <w:tc>
          <w:tcPr>
            <w:tcW w:type="dxa" w:w="2946"/>
          </w:tcPr>
          <w:p>
            <w:pPr>
              <w:jc w:val="center"/>
            </w:pPr>
            <w:r>
              <w:rPr>
                <w:sz w:val="20"/>
              </w:rPr>
            </w:r>
            <w:r>
              <w:rPr>
                <w:b w:val="0"/>
                <w:i w:val="0"/>
                <w:sz w:val="20"/>
              </w:rPr>
              <w:t>R$ 32,23</w:t>
            </w:r>
          </w:p>
        </w:tc>
      </w:tr>
      <w:tr>
        <w:tc>
          <w:tcPr>
            <w:tcW w:type="dxa" w:w="2946"/>
          </w:tcPr>
          <w:p>
            <w:pPr>
              <w:jc w:val="center"/>
            </w:pPr>
            <w:r>
              <w:rPr>
                <w:sz w:val="20"/>
              </w:rPr>
            </w:r>
            <w:r>
              <w:rPr>
                <w:b w:val="0"/>
                <w:i w:val="0"/>
                <w:sz w:val="20"/>
              </w:rPr>
              <w:t>Total financiado</w:t>
            </w:r>
          </w:p>
        </w:tc>
        <w:tc>
          <w:tcPr>
            <w:tcW w:type="dxa" w:w="2946"/>
          </w:tcPr>
          <w:p>
            <w:pPr>
              <w:jc w:val="center"/>
            </w:pPr>
            <w:r>
              <w:rPr>
                <w:sz w:val="20"/>
              </w:rPr>
            </w:r>
            <w:r>
              <w:rPr>
                <w:b w:val="0"/>
                <w:i w:val="0"/>
                <w:sz w:val="20"/>
              </w:rPr>
              <w:t>R$ 5.812,83</w:t>
            </w:r>
          </w:p>
        </w:tc>
        <w:tc>
          <w:tcPr>
            <w:tcW w:type="dxa" w:w="2946"/>
          </w:tcPr>
          <w:p>
            <w:pPr>
              <w:jc w:val="center"/>
            </w:pPr>
            <w:r>
              <w:rPr>
                <w:sz w:val="20"/>
              </w:rPr>
            </w:r>
            <w:r>
              <w:rPr>
                <w:b w:val="0"/>
                <w:i w:val="0"/>
                <w:sz w:val="20"/>
              </w:rPr>
              <w:t>R$ 1.162,23</w:t>
            </w:r>
          </w:p>
        </w:tc>
      </w:tr>
      <w:tr>
        <w:tc>
          <w:tcPr>
            <w:tcW w:type="dxa" w:w="2946"/>
          </w:tcPr>
          <w:p>
            <w:pPr>
              <w:jc w:val="center"/>
            </w:pPr>
            <w:r>
              <w:rPr>
                <w:sz w:val="20"/>
              </w:rPr>
            </w:r>
            <w:r>
              <w:rPr>
                <w:b w:val="0"/>
                <w:i w:val="0"/>
                <w:sz w:val="20"/>
              </w:rPr>
              <w:t>Parcelas (48x)</w:t>
            </w:r>
          </w:p>
        </w:tc>
        <w:tc>
          <w:tcPr>
            <w:tcW w:type="dxa" w:w="2946"/>
          </w:tcPr>
          <w:p>
            <w:pPr>
              <w:jc w:val="center"/>
            </w:pPr>
            <w:r>
              <w:rPr>
                <w:sz w:val="20"/>
              </w:rPr>
            </w:r>
            <w:r>
              <w:rPr>
                <w:b w:val="0"/>
                <w:i w:val="0"/>
                <w:sz w:val="20"/>
              </w:rPr>
              <w:t>R$ 349,65</w:t>
            </w:r>
          </w:p>
        </w:tc>
        <w:tc>
          <w:tcPr>
            <w:tcW w:type="dxa" w:w="2946"/>
          </w:tcPr>
          <w:p>
            <w:pPr>
              <w:jc w:val="center"/>
            </w:pPr>
            <w:r>
              <w:rPr>
                <w:sz w:val="20"/>
              </w:rPr>
            </w:r>
            <w:r>
              <w:rPr>
                <w:b w:val="0"/>
                <w:i w:val="0"/>
                <w:sz w:val="20"/>
              </w:rPr>
              <w:t>R$ 69,01</w:t>
            </w:r>
          </w:p>
        </w:tc>
      </w:tr>
      <w:tr>
        <w:tc>
          <w:tcPr>
            <w:tcW w:type="dxa" w:w="2946"/>
          </w:tcPr>
          <w:p>
            <w:pPr>
              <w:jc w:val="center"/>
            </w:pPr>
            <w:r>
              <w:rPr>
                <w:sz w:val="20"/>
              </w:rPr>
            </w:r>
            <w:r>
              <w:rPr>
                <w:b w:val="0"/>
                <w:i w:val="0"/>
                <w:sz w:val="20"/>
              </w:rPr>
              <w:t>Total devido</w:t>
            </w:r>
          </w:p>
        </w:tc>
        <w:tc>
          <w:tcPr>
            <w:tcW w:type="dxa" w:w="2946"/>
          </w:tcPr>
          <w:p>
            <w:pPr>
              <w:jc w:val="center"/>
            </w:pPr>
            <w:r>
              <w:rPr>
                <w:sz w:val="20"/>
              </w:rPr>
            </w:r>
            <w:r>
              <w:rPr>
                <w:b w:val="0"/>
                <w:i w:val="0"/>
                <w:sz w:val="20"/>
              </w:rPr>
              <w:t>R$ 16.783,20</w:t>
            </w:r>
          </w:p>
        </w:tc>
        <w:tc>
          <w:tcPr>
            <w:tcW w:type="dxa" w:w="2946"/>
          </w:tcPr>
          <w:p>
            <w:pPr>
              <w:jc w:val="center"/>
            </w:pPr>
            <w:r>
              <w:rPr>
                <w:sz w:val="20"/>
              </w:rPr>
            </w:r>
            <w:r>
              <w:rPr>
                <w:b w:val="0"/>
                <w:i w:val="0"/>
                <w:sz w:val="20"/>
              </w:rPr>
              <w:t>R$ 3.312,48</w:t>
            </w:r>
          </w:p>
        </w:tc>
      </w:tr>
    </w:tbl>
    <w:p/>
    <w:p>
      <w:pPr>
        <w:spacing w:after="160" w:line="276" w:lineRule="auto"/>
        <w:ind w:firstLine="709"/>
        <w:jc w:val="both"/>
      </w:pPr>
      <w:r>
        <w:rPr>
          <w:b w:val="0"/>
          <w:i w:val="0"/>
        </w:rPr>
        <w:t>O prêmio do seguro (R$ 650,00 + R$ 130,00 = R$ 780,00) não foi pago à vista: foi incorporado ao valor financiado e, por isso, incide sobre ele a taxa de juros da operação (4,98% a.m.), conforme a própria cláusula 52 das CCBs ("o valor será financiado junto às parcelas, e incidirão juros remuneratórios e encargos de mora no caso de atraso. A financeira irá descontar o valor do Seguro Prestamista deste empréstimo e repassar à empresa contratada"). A Ré reteve o valor do crédito liberado e o repassou a terceiro, que sequer é identificado nos instrumentos.</w:t>
      </w:r>
    </w:p>
    <w:p>
      <w:pPr>
        <w:keepNext/>
        <w:spacing w:after="160" w:line="276" w:lineRule="auto" w:before="200"/>
        <w:jc w:val="both"/>
      </w:pPr>
      <w:r>
        <w:rPr>
          <w:b/>
          <w:i w:val="0"/>
        </w:rPr>
        <w:t>2.2. Da ausência de identificação da seguradora e de apólice</w:t>
      </w:r>
    </w:p>
    <w:p>
      <w:pPr>
        <w:spacing w:after="160" w:line="276" w:lineRule="auto"/>
        <w:ind w:firstLine="709"/>
        <w:jc w:val="both"/>
      </w:pPr>
      <w:r>
        <w:rPr>
          <w:b w:val="0"/>
          <w:i w:val="0"/>
        </w:rPr>
        <w:t>Nos instrumentos em poder da parte Autora não há identificação da seguradora, do número da apólice ou do certificado individual, das condições gerais, da cobertura, do capital segurado, da vigência ou do beneficiário. A cláusula 52 limita-se a dizer que o valor é repassado "à empresa contratada", sem identificá-la. O Autor jamais recebeu apólice, certificado ou condições gerais [CONFIRMAR COM O CLIENTE ANTES DO PROTOCOLO], e a existência do seguro lhe foi revelada apenas pelo exame dos contratos, ao constatar a cobrança do prêmio no valor financiado.</w:t>
      </w:r>
    </w:p>
    <w:p>
      <w:pPr>
        <w:keepNext/>
        <w:spacing w:after="160" w:line="276" w:lineRule="auto" w:before="200"/>
        <w:jc w:val="both"/>
      </w:pPr>
      <w:r>
        <w:rPr>
          <w:b/>
          <w:i w:val="0"/>
        </w:rPr>
        <w:t>2.3. Da "opção" aparente e da venda casada</w:t>
      </w:r>
    </w:p>
    <w:p>
      <w:pPr>
        <w:spacing w:after="160" w:line="276" w:lineRule="auto"/>
        <w:ind w:firstLine="709"/>
        <w:jc w:val="both"/>
      </w:pPr>
      <w:r>
        <w:rPr>
          <w:b w:val="0"/>
          <w:i w:val="0"/>
        </w:rPr>
        <w:t>As CCBs afirmam que a contratação do seguro é "opcional" e que será confirmada por aceite do cliente, selecionando "Sim" ou "Não" (cláusula 12). No documento, a opção "SIM" já consta como marcada ([X] – SIM; [ ] – NÃO), no mesmo ato e na mesma assinatura eletrônica do próprio contrato de crédito (05/08/2026, 19:15:32, e 13/08/2026, 18:17:16), sem proposta autônoma, sem escolha de seguradora e sem informação destacada do custo individual do prêmio e dos juros sobre ele incidentes. A suposta "opção" é, portanto, meramente formal: um campo dentro de contrato de adesão, preenchido no mesmo ato da contratação do crédito, em ambiente digital conduzido por correspondentes bancários, que não dá ao consumidor liberdade real para recusar o produto sem prejuízo da concessão do crédito. É o modus operandi típico da venda casada.</w:t>
      </w:r>
    </w:p>
    <w:p>
      <w:pPr>
        <w:spacing w:after="160" w:line="276" w:lineRule="auto"/>
        <w:ind w:firstLine="709"/>
        <w:jc w:val="both"/>
      </w:pPr>
      <w:r>
        <w:rPr>
          <w:b w:val="0"/>
          <w:i w:val="0"/>
        </w:rPr>
        <w:t>Esse padrão se repetiu nos dois contratos, firmados com poucos dias de diferença e por originadores distintos (N1 SERVICOS LTDA e PRONTO PROMOTORA LTDA), com seguro de exatamente 11,2% do valor total financiado em cada um (R$ 650,00 sobre R$ 5.812,83 e R$ 130,00 sobre R$ 1.162,23), o que indica percentual fixo imposto pela Ré e não escolha do consumidor.</w:t>
      </w:r>
    </w:p>
    <w:p>
      <w:pPr>
        <w:keepNext/>
        <w:spacing w:after="160" w:line="276" w:lineRule="auto" w:before="200"/>
        <w:jc w:val="both"/>
      </w:pPr>
      <w:r>
        <w:rPr>
          <w:b/>
          <w:i w:val="0"/>
        </w:rPr>
        <w:t>2.4. Do valor efetivamente pago pelo seguro, com os juros da operação</w:t>
      </w:r>
    </w:p>
    <w:p>
      <w:pPr>
        <w:spacing w:after="160" w:line="276" w:lineRule="auto"/>
        <w:ind w:firstLine="709"/>
        <w:jc w:val="both"/>
      </w:pPr>
      <w:r>
        <w:rPr>
          <w:b w:val="0"/>
          <w:i w:val="0"/>
        </w:rPr>
        <w:t>Como o prêmio foi financiado à taxa de juros do contrato, o consumidor não pagará R$ 780,00, mas bem mais. Mantida a mesma proporção em que o prêmio integra o valor financiado (11,18% em ambos os contratos), a parcela do total devido que corresponde ao seguro, com os juros da operação, é de R$ 1.876,72 no Contrato 1 (R$ 650,00 ÷ R$ 5.812,83 × R$ 16.783,20) e R$ 370,51 no Contrato 2 (R$ 130,00 ÷ R$ 1.162,23 × R$ 3.312,48), perfazendo R$ 2.247,23, como se vê da Memória de Cálculo anexa (Doc.). Em dobro, R$ 4.494,46.</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sz w:val="20"/>
              </w:rPr>
            </w:r>
          </w:p>
        </w:tc>
        <w:tc>
          <w:tcPr>
            <w:tcW w:type="dxa" w:w="2209"/>
          </w:tcPr>
          <w:p>
            <w:pPr>
              <w:jc w:val="center"/>
            </w:pPr>
            <w:r>
              <w:rPr>
                <w:sz w:val="20"/>
              </w:rPr>
            </w:r>
            <w:r>
              <w:rPr>
                <w:b/>
                <w:i w:val="0"/>
                <w:sz w:val="20"/>
              </w:rPr>
              <w:t>CONTRATO 1</w:t>
            </w:r>
          </w:p>
        </w:tc>
        <w:tc>
          <w:tcPr>
            <w:tcW w:type="dxa" w:w="2209"/>
          </w:tcPr>
          <w:p>
            <w:pPr>
              <w:jc w:val="center"/>
            </w:pPr>
            <w:r>
              <w:rPr>
                <w:sz w:val="20"/>
              </w:rPr>
            </w:r>
            <w:r>
              <w:rPr>
                <w:b/>
                <w:i w:val="0"/>
                <w:sz w:val="20"/>
              </w:rPr>
              <w:t>CONTRATO 2</w:t>
            </w:r>
          </w:p>
        </w:tc>
        <w:tc>
          <w:tcPr>
            <w:tcW w:type="dxa" w:w="2209"/>
          </w:tcPr>
          <w:p>
            <w:pPr>
              <w:jc w:val="center"/>
            </w:pPr>
            <w:r>
              <w:rPr>
                <w:sz w:val="20"/>
              </w:rPr>
            </w:r>
            <w:r>
              <w:rPr>
                <w:b/>
                <w:i w:val="0"/>
                <w:sz w:val="20"/>
              </w:rPr>
              <w:t>TOTAL</w:t>
            </w:r>
          </w:p>
        </w:tc>
      </w:tr>
      <w:tr>
        <w:tc>
          <w:tcPr>
            <w:tcW w:type="dxa" w:w="2209"/>
          </w:tcPr>
          <w:p>
            <w:pPr>
              <w:jc w:val="center"/>
            </w:pPr>
            <w:r>
              <w:rPr>
                <w:sz w:val="20"/>
              </w:rPr>
            </w:r>
            <w:r>
              <w:rPr>
                <w:b w:val="0"/>
                <w:i w:val="0"/>
                <w:sz w:val="20"/>
              </w:rPr>
              <w:t>Prêmio nominal financiado</w:t>
            </w:r>
          </w:p>
        </w:tc>
        <w:tc>
          <w:tcPr>
            <w:tcW w:type="dxa" w:w="2209"/>
          </w:tcPr>
          <w:p>
            <w:pPr>
              <w:jc w:val="center"/>
            </w:pPr>
            <w:r>
              <w:rPr>
                <w:sz w:val="20"/>
              </w:rPr>
            </w:r>
            <w:r>
              <w:rPr>
                <w:b w:val="0"/>
                <w:i w:val="0"/>
                <w:sz w:val="20"/>
              </w:rPr>
              <w:t>R$ 650,00</w:t>
            </w:r>
          </w:p>
        </w:tc>
        <w:tc>
          <w:tcPr>
            <w:tcW w:type="dxa" w:w="2209"/>
          </w:tcPr>
          <w:p>
            <w:pPr>
              <w:jc w:val="center"/>
            </w:pPr>
            <w:r>
              <w:rPr>
                <w:sz w:val="20"/>
              </w:rPr>
            </w:r>
            <w:r>
              <w:rPr>
                <w:b w:val="0"/>
                <w:i w:val="0"/>
                <w:sz w:val="20"/>
              </w:rPr>
              <w:t>R$ 130,00</w:t>
            </w:r>
          </w:p>
        </w:tc>
        <w:tc>
          <w:tcPr>
            <w:tcW w:type="dxa" w:w="2209"/>
          </w:tcPr>
          <w:p>
            <w:pPr>
              <w:jc w:val="center"/>
            </w:pPr>
            <w:r>
              <w:rPr>
                <w:sz w:val="20"/>
              </w:rPr>
            </w:r>
            <w:r>
              <w:rPr>
                <w:b w:val="0"/>
                <w:i w:val="0"/>
                <w:sz w:val="20"/>
              </w:rPr>
              <w:t>R$ 780,00</w:t>
            </w:r>
          </w:p>
        </w:tc>
      </w:tr>
      <w:tr>
        <w:tc>
          <w:tcPr>
            <w:tcW w:type="dxa" w:w="2209"/>
          </w:tcPr>
          <w:p>
            <w:pPr>
              <w:jc w:val="center"/>
            </w:pPr>
            <w:r>
              <w:rPr>
                <w:sz w:val="20"/>
              </w:rPr>
            </w:r>
            <w:r>
              <w:rPr>
                <w:b w:val="0"/>
                <w:i w:val="0"/>
                <w:sz w:val="20"/>
              </w:rPr>
              <w:t>Prêmio com os juros da operação (48 parcelas)</w:t>
            </w:r>
          </w:p>
        </w:tc>
        <w:tc>
          <w:tcPr>
            <w:tcW w:type="dxa" w:w="2209"/>
          </w:tcPr>
          <w:p>
            <w:pPr>
              <w:jc w:val="center"/>
            </w:pPr>
            <w:r>
              <w:rPr>
                <w:sz w:val="20"/>
              </w:rPr>
            </w:r>
            <w:r>
              <w:rPr>
                <w:b w:val="0"/>
                <w:i w:val="0"/>
                <w:sz w:val="20"/>
              </w:rPr>
              <w:t>R$ 1.876,72</w:t>
            </w:r>
          </w:p>
        </w:tc>
        <w:tc>
          <w:tcPr>
            <w:tcW w:type="dxa" w:w="2209"/>
          </w:tcPr>
          <w:p>
            <w:pPr>
              <w:jc w:val="center"/>
            </w:pPr>
            <w:r>
              <w:rPr>
                <w:sz w:val="20"/>
              </w:rPr>
            </w:r>
            <w:r>
              <w:rPr>
                <w:b w:val="0"/>
                <w:i w:val="0"/>
                <w:sz w:val="20"/>
              </w:rPr>
              <w:t>R$ 370,51</w:t>
            </w:r>
          </w:p>
        </w:tc>
        <w:tc>
          <w:tcPr>
            <w:tcW w:type="dxa" w:w="2209"/>
          </w:tcPr>
          <w:p>
            <w:pPr>
              <w:jc w:val="center"/>
            </w:pPr>
            <w:r>
              <w:rPr>
                <w:sz w:val="20"/>
              </w:rPr>
            </w:r>
            <w:r>
              <w:rPr>
                <w:b w:val="0"/>
                <w:i w:val="0"/>
                <w:sz w:val="20"/>
              </w:rPr>
              <w:t>R$ 2.247,23</w:t>
            </w:r>
          </w:p>
        </w:tc>
      </w:tr>
      <w:tr>
        <w:tc>
          <w:tcPr>
            <w:tcW w:type="dxa" w:w="2209"/>
          </w:tcPr>
          <w:p>
            <w:pPr>
              <w:jc w:val="center"/>
            </w:pPr>
            <w:r>
              <w:rPr>
                <w:sz w:val="20"/>
              </w:rPr>
            </w:r>
            <w:r>
              <w:rPr>
                <w:b w:val="0"/>
                <w:i w:val="0"/>
                <w:sz w:val="20"/>
              </w:rPr>
              <w:t>Em dobro (art. 42, p. ú., CDC)</w:t>
            </w:r>
          </w:p>
        </w:tc>
        <w:tc>
          <w:tcPr>
            <w:tcW w:type="dxa" w:w="2209"/>
          </w:tcPr>
          <w:p>
            <w:pPr>
              <w:jc w:val="center"/>
            </w:pPr>
            <w:r>
              <w:rPr>
                <w:sz w:val="20"/>
              </w:rPr>
            </w:r>
            <w:r>
              <w:rPr>
                <w:b w:val="0"/>
                <w:i w:val="0"/>
                <w:sz w:val="20"/>
              </w:rPr>
              <w:t>R$ 3.753,44</w:t>
            </w:r>
          </w:p>
        </w:tc>
        <w:tc>
          <w:tcPr>
            <w:tcW w:type="dxa" w:w="2209"/>
          </w:tcPr>
          <w:p>
            <w:pPr>
              <w:jc w:val="center"/>
            </w:pPr>
            <w:r>
              <w:rPr>
                <w:sz w:val="20"/>
              </w:rPr>
            </w:r>
            <w:r>
              <w:rPr>
                <w:b w:val="0"/>
                <w:i w:val="0"/>
                <w:sz w:val="20"/>
              </w:rPr>
              <w:t>R$ 741,02</w:t>
            </w:r>
          </w:p>
        </w:tc>
        <w:tc>
          <w:tcPr>
            <w:tcW w:type="dxa" w:w="2209"/>
          </w:tcPr>
          <w:p>
            <w:pPr>
              <w:jc w:val="center"/>
            </w:pPr>
            <w:r>
              <w:rPr>
                <w:sz w:val="20"/>
              </w:rPr>
            </w:r>
            <w:r>
              <w:rPr>
                <w:b w:val="0"/>
                <w:i w:val="0"/>
                <w:sz w:val="20"/>
              </w:rPr>
              <w:t>R$ 4.494,46</w:t>
            </w:r>
          </w:p>
        </w:tc>
      </w:tr>
      <w:tr>
        <w:tc>
          <w:tcPr>
            <w:tcW w:type="dxa" w:w="2209"/>
          </w:tcPr>
          <w:p>
            <w:pPr>
              <w:jc w:val="center"/>
            </w:pPr>
            <w:r>
              <w:rPr>
                <w:sz w:val="20"/>
              </w:rPr>
            </w:r>
            <w:r>
              <w:rPr>
                <w:b w:val="0"/>
                <w:i w:val="0"/>
                <w:sz w:val="20"/>
              </w:rPr>
              <w:t>Parcela mensal embutida no seguro (estimativa)</w:t>
            </w:r>
          </w:p>
        </w:tc>
        <w:tc>
          <w:tcPr>
            <w:tcW w:type="dxa" w:w="2209"/>
          </w:tcPr>
          <w:p>
            <w:pPr>
              <w:jc w:val="center"/>
            </w:pPr>
            <w:r>
              <w:rPr>
                <w:sz w:val="20"/>
              </w:rPr>
            </w:r>
            <w:r>
              <w:rPr>
                <w:b w:val="0"/>
                <w:i w:val="0"/>
                <w:sz w:val="20"/>
              </w:rPr>
              <w:t>R$ 39,10</w:t>
            </w:r>
          </w:p>
        </w:tc>
        <w:tc>
          <w:tcPr>
            <w:tcW w:type="dxa" w:w="2209"/>
          </w:tcPr>
          <w:p>
            <w:pPr>
              <w:jc w:val="center"/>
            </w:pPr>
            <w:r>
              <w:rPr>
                <w:sz w:val="20"/>
              </w:rPr>
            </w:r>
            <w:r>
              <w:rPr>
                <w:b w:val="0"/>
                <w:i w:val="0"/>
                <w:sz w:val="20"/>
              </w:rPr>
              <w:t>R$ 7,72</w:t>
            </w:r>
          </w:p>
        </w:tc>
        <w:tc>
          <w:tcPr>
            <w:tcW w:type="dxa" w:w="2209"/>
          </w:tcPr>
          <w:p>
            <w:pPr>
              <w:jc w:val="center"/>
            </w:pPr>
            <w:r>
              <w:rPr>
                <w:sz w:val="20"/>
              </w:rPr>
            </w:r>
            <w:r>
              <w:rPr>
                <w:b w:val="0"/>
                <w:i w:val="0"/>
                <w:sz w:val="20"/>
              </w:rPr>
              <w:t>R$ 46,82</w:t>
            </w:r>
          </w:p>
        </w:tc>
      </w:tr>
    </w:tbl>
    <w:p/>
    <w:p>
      <w:pPr>
        <w:spacing w:after="160" w:line="276" w:lineRule="auto"/>
        <w:ind w:firstLine="709"/>
        <w:jc w:val="both"/>
      </w:pPr>
      <w:r>
        <w:rPr>
          <w:b w:val="0"/>
          <w:i w:val="0"/>
        </w:rPr>
        <w:t>Ressalva: até a presente data nenhuma parcela venceu (o primeiro desconto está previsto para 21/10/2026). O valor nominal de R$ 780,00 já foi retido do crédito e repassado a terceiro; os valores com juros são projeção, condicionada ao pagamento das parcelas, e deverão ser confirmados mediante juntada dos contracheques e liquidados na fase própria. Os cálculos são proporcionais e devem ser conferidos por perícia contábil.</w:t>
      </w:r>
    </w:p>
    <w:p>
      <w:pPr>
        <w:keepNext/>
        <w:spacing w:after="160" w:line="276" w:lineRule="auto" w:before="200"/>
        <w:jc w:val="both"/>
      </w:pPr>
      <w:r>
        <w:rPr>
          <w:b/>
          <w:i w:val="0"/>
        </w:rPr>
        <w:t>2.5. Da reclamação administrativa</w:t>
      </w:r>
    </w:p>
    <w:p>
      <w:pPr>
        <w:spacing w:after="160" w:line="276" w:lineRule="auto"/>
        <w:ind w:firstLine="709"/>
        <w:jc w:val="both"/>
      </w:pPr>
      <w:r>
        <w:rPr>
          <w:b/>
          <w:i w:val="0"/>
          <w:highlight w:val="yellow"/>
        </w:rPr>
        <w:t>[PREENCHER – informar se houve reclamação administrativa/SAC com número de protocolo e data; caso não tenha havido, o parágrafo deve ser suprimido e o pedido de cancelamento será formulado diretamente nestes autos.]</w:t>
      </w:r>
    </w:p>
    <w:p>
      <w:pPr>
        <w:keepNext/>
        <w:spacing w:after="160" w:line="276" w:lineRule="auto" w:before="200"/>
        <w:jc w:val="both"/>
      </w:pPr>
      <w:r>
        <w:rPr>
          <w:b/>
          <w:i w:val="0"/>
        </w:rPr>
        <w:t>III – DA RELAÇÃO DE CONSUMO E DA APLICAÇÃO DO CDC</w:t>
      </w:r>
    </w:p>
    <w:p>
      <w:pPr>
        <w:spacing w:after="160" w:line="276" w:lineRule="auto"/>
        <w:ind w:firstLine="709"/>
        <w:jc w:val="both"/>
      </w:pPr>
      <w:r>
        <w:rPr>
          <w:b w:val="0"/>
          <w:i w:val="0"/>
        </w:rPr>
        <w:t>A relação entre o Autor e a Ré é tipicamente consumerista, nos termos da Súmula 297 do STJ, segundo a qual o Código de Defesa do Consumidor é aplicável às instituições financeiras. A Ré, na condição de fornecedora do crédito e responsável pela cobrança, retenção e repasse do prêmio, integra a cadeia de fornecimento do seguro e responde solidariamente (CDC, arts. 7º, parágrafo único, 25, §1º, e 34). O Autor é consumidor vulnerável — trabalhador jovem, com pouco mais de um ano de vínculo, sem conhecimento técnico de matemática financeira ou de seguros —, situação que demanda tutela qualificada (CDC, arts. 4º, I, e 39, IV).</w:t>
      </w:r>
    </w:p>
    <w:p>
      <w:pPr>
        <w:keepNext/>
        <w:spacing w:after="160" w:line="276" w:lineRule="auto" w:before="200"/>
        <w:jc w:val="both"/>
      </w:pPr>
      <w:r>
        <w:rPr>
          <w:b/>
          <w:i w:val="0"/>
        </w:rPr>
        <w:t>IV – DA VENDA CASADA — CDC, ART. 39, I</w:t>
      </w:r>
    </w:p>
    <w:p>
      <w:pPr>
        <w:spacing w:after="160" w:line="276" w:lineRule="auto"/>
        <w:ind w:firstLine="709"/>
        <w:jc w:val="both"/>
      </w:pPr>
      <w:r>
        <w:rPr>
          <w:b w:val="0"/>
          <w:i w:val="0"/>
        </w:rPr>
        <w:t>A conduta da Ré viola frontalmente o art. 39 do CDC, que veda expressamente a venda casada:</w:t>
      </w:r>
    </w:p>
    <w:p>
      <w:pPr>
        <w:spacing w:after="160" w:line="276" w:lineRule="auto"/>
        <w:ind w:left="2268"/>
        <w:jc w:val="both"/>
      </w:pPr>
      <w:r>
        <w:rPr>
          <w:b w:val="0"/>
          <w:i w:val="0"/>
          <w:sz w:val="22"/>
        </w:rPr>
        <w:t>"Art. 39. É vedado ao fornecedor de produtos ou serviços, dentre outras práticas abusivas: I – condicionar o fornecimento de produto ou de serviço ao fornecimento de outro produto ou serviço, bem como, sem justa causa, a limites quantitativos; [...] IV – prevalecer-se da fraqueza ou da ignorância do consumidor, tendo em vista sua idade, saúde, conhecimento ou condição social, para impingir-lhe seus produtos ou serviços;"</w:t>
      </w:r>
    </w:p>
    <w:p>
      <w:pPr>
        <w:spacing w:after="160" w:line="276" w:lineRule="auto"/>
        <w:ind w:firstLine="709"/>
        <w:jc w:val="both"/>
      </w:pPr>
      <w:r>
        <w:rPr>
          <w:b w:val="0"/>
          <w:i w:val="0"/>
        </w:rPr>
        <w:t>O seguro foi inserido no mesmo instrumento e no mesmo ato da contratação do crédito, com opção já marcada e sem proposta autônoma, sem escolha de seguradora e sem informação destacada de seu custo. A ausência de opção real de escolha caracteriza, objetivamente, a venda casada e, por consequência, a ineficácia da contratação do seguro em relação ao consumidor.</w:t>
      </w:r>
    </w:p>
    <w:p>
      <w:pPr>
        <w:keepNext/>
        <w:spacing w:after="160" w:line="276" w:lineRule="auto" w:before="200"/>
        <w:jc w:val="both"/>
      </w:pPr>
      <w:r>
        <w:rPr>
          <w:b/>
          <w:i w:val="0"/>
        </w:rPr>
        <w:t>V – TESE VINCULANTE DO STJ — TEMA 972</w:t>
      </w:r>
    </w:p>
    <w:p>
      <w:pPr>
        <w:spacing w:after="160" w:line="276" w:lineRule="auto"/>
        <w:ind w:firstLine="709"/>
        <w:jc w:val="both"/>
      </w:pPr>
      <w:r>
        <w:rPr>
          <w:b w:val="0"/>
          <w:i w:val="0"/>
        </w:rPr>
        <w:t>O Superior Tribunal de Justiça, no julgamento sob o rito dos recursos repetitivos, fixou tese vinculante que decide a controvérsia:</w:t>
      </w:r>
    </w:p>
    <w:p>
      <w:pPr>
        <w:spacing w:after="160" w:line="276" w:lineRule="auto"/>
        <w:ind w:left="2268"/>
        <w:jc w:val="both"/>
      </w:pPr>
      <w:r>
        <w:rPr>
          <w:b w:val="0"/>
          <w:i w:val="0"/>
          <w:sz w:val="22"/>
        </w:rPr>
        <w:t>"Nos contratos bancários em geral, o consumidor não pode ser compelido a contratar seguro com a instituição financeira ou com seguradora por ela indicada."</w:t>
      </w:r>
    </w:p>
    <w:p>
      <w:pPr>
        <w:spacing w:after="160" w:line="276" w:lineRule="auto"/>
        <w:jc w:val="both"/>
      </w:pPr>
      <w:r>
        <w:rPr>
          <w:b w:val="0"/>
          <w:i w:val="0"/>
        </w:rPr>
        <w:t>(STJ — REsp 1.639.320/SP e REsp 1.639.259/SP, Rel. Min. Paulo de Tarso Sanseverino, 2ª Seção, j. 12.12.2018 — Tema 972 — Recurso Repetitivo)</w:t>
      </w:r>
    </w:p>
    <w:p>
      <w:pPr>
        <w:spacing w:after="160" w:line="276" w:lineRule="auto"/>
        <w:ind w:firstLine="709"/>
        <w:jc w:val="both"/>
      </w:pPr>
      <w:r>
        <w:rPr>
          <w:b w:val="0"/>
          <w:i w:val="0"/>
        </w:rPr>
        <w:t>A tese é de aplicação obrigatória aos juízos e tribunais. No caso, o seguro foi imposto como parte do pacote do crédito, com seguradora sequer identificada, o que, por si só, é suficiente para a procedência da ação.</w:t>
      </w:r>
    </w:p>
    <w:p>
      <w:pPr>
        <w:keepNext/>
        <w:spacing w:after="160" w:line="276" w:lineRule="auto" w:before="200"/>
        <w:jc w:val="both"/>
      </w:pPr>
      <w:r>
        <w:rPr>
          <w:b/>
          <w:i w:val="0"/>
        </w:rPr>
        <w:t>VI – DO DEVER LEGAL DE ENTREGA DA APÓLICE — CÓDIGO CIVIL</w:t>
      </w:r>
    </w:p>
    <w:p>
      <w:pPr>
        <w:spacing w:after="160" w:line="276" w:lineRule="auto"/>
        <w:ind w:left="2268"/>
        <w:jc w:val="both"/>
      </w:pPr>
      <w:r>
        <w:rPr>
          <w:b w:val="0"/>
          <w:i w:val="0"/>
          <w:sz w:val="22"/>
        </w:rPr>
        <w:t>"Art. 760. A apólice ou o bilhete de seguro serão nominativos, à ordem ou ao portador, e mencionarão os riscos assumidos, o início e o fim de sua validade, o limite da garantia e o prêmio devido, e, quando for o caso, o nome do segurado e o do beneficiário."</w:t>
      </w:r>
    </w:p>
    <w:p>
      <w:pPr>
        <w:spacing w:after="160" w:line="276" w:lineRule="auto"/>
        <w:ind w:firstLine="709"/>
        <w:jc w:val="both"/>
      </w:pPr>
      <w:r>
        <w:rPr>
          <w:b w:val="0"/>
          <w:i w:val="0"/>
        </w:rPr>
        <w:t>A apólice constitui o próprio contrato de seguro, e sua entrega ao segurado é obrigação legal. No caso, a parte Autora não dispõe de apólice, certificado ou condições gerais, e os instrumentos sequer identificam a seguradora, os riscos cobertos, o limite da garantia ou o beneficiário, o que viola o art. 760 do Código Civil e o dever de informação adequada (CDC, art. 6º, III).</w:t>
      </w:r>
    </w:p>
    <w:p>
      <w:pPr>
        <w:keepNext/>
        <w:spacing w:after="160" w:line="276" w:lineRule="auto" w:before="200"/>
        <w:jc w:val="both"/>
      </w:pPr>
      <w:r>
        <w:rPr>
          <w:b/>
          <w:i w:val="0"/>
        </w:rPr>
        <w:t>VII – DA REGULAMENTAÇÃO DA SUSEP — RES. CNSP Nº 382/2020</w:t>
      </w:r>
    </w:p>
    <w:p>
      <w:pPr>
        <w:spacing w:after="160" w:line="276" w:lineRule="auto"/>
        <w:ind w:firstLine="709"/>
        <w:jc w:val="both"/>
      </w:pPr>
      <w:r>
        <w:rPr>
          <w:b w:val="0"/>
          <w:i w:val="0"/>
        </w:rPr>
        <w:t>A Resolução CNSP nº 382/2020 disciplina os seguros de pessoas vinculados a operações de crédito, impondo às seguradoras: (i) o dever de fornecer ao segurado o certificado individual ou a apólice; (ii) a disponibilização clara e ostensiva das condições gerais; (iii) a garantia do direito de cancelamento a qualquer tempo; (iv) a vedação à vinculação do crédito à contratação obrigatória do seguro; e (v) a liberdade de escolha da seguradora pelo consumidor. No caso concreto, os instrumentos não identificam a seguradora, não há certificado ou condições gerais, e a liberdade de escolha não foi assegurada.</w:t>
      </w:r>
    </w:p>
    <w:p>
      <w:pPr>
        <w:keepNext/>
        <w:spacing w:after="160" w:line="276" w:lineRule="auto" w:before="200"/>
        <w:jc w:val="both"/>
      </w:pPr>
      <w:r>
        <w:rPr>
          <w:b/>
          <w:i w:val="0"/>
        </w:rPr>
        <w:t>VIII – DA BOA-FÉ OBJETIVA E DA INEFICÁCIA DO NEGÓCIO</w:t>
      </w:r>
    </w:p>
    <w:p>
      <w:pPr>
        <w:spacing w:after="160" w:line="276" w:lineRule="auto"/>
        <w:ind w:left="2268"/>
        <w:jc w:val="both"/>
      </w:pPr>
      <w:r>
        <w:rPr>
          <w:b w:val="0"/>
          <w:i w:val="0"/>
          <w:sz w:val="22"/>
        </w:rPr>
        <w:t>"Art. 422. Os contratantes são obrigados a guardar, assim na conclusão do contrato, como em sua execução, os princípios de probidade e boa-fé."</w:t>
      </w:r>
    </w:p>
    <w:p>
      <w:pPr>
        <w:spacing w:after="160" w:line="276" w:lineRule="auto"/>
        <w:ind w:firstLine="709"/>
        <w:jc w:val="both"/>
      </w:pPr>
      <w:r>
        <w:rPr>
          <w:b w:val="0"/>
          <w:i w:val="0"/>
        </w:rPr>
        <w:t>A boa-fé objetiva impõe deveres anexos — informação, lealdade, transparência, cooperação — que a Ré descumpriu. Sem manifestação autônoma, consciente e informada de vontade, o seguro é ineficaz em relação ao consumidor (CDC, arts. 46 e 51, IV): a mera marcação eletrônica de um campo, dentro do instrumento do crédito, sem identificação do segurador, sem condições gerais e sem escolha, não supre o consentimento qualificado que a lei exige. Requer-se, pois, a declaração de ineficácia — ou, conforme a prova a ser produzida pela Ré, de inexistência — da contratação do seguro.</w:t>
      </w:r>
    </w:p>
    <w:p>
      <w:pPr>
        <w:keepNext/>
        <w:spacing w:after="160" w:line="276" w:lineRule="auto" w:before="200"/>
        <w:jc w:val="both"/>
      </w:pPr>
      <w:r>
        <w:rPr>
          <w:b/>
          <w:i w:val="0"/>
        </w:rPr>
        <w:t>IX – DA RESPONSABILIDADE OBJETIVA DA RÉ — CDC, ART. 14</w:t>
      </w:r>
    </w:p>
    <w:p>
      <w:pPr>
        <w:spacing w:after="160" w:line="276" w:lineRule="auto"/>
        <w:ind w:left="2268"/>
        <w:jc w:val="both"/>
      </w:pPr>
      <w:r>
        <w:rPr>
          <w:b w:val="0"/>
          <w:i w:val="0"/>
          <w:sz w:val="22"/>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pPr>
        <w:spacing w:after="160" w:line="276" w:lineRule="auto"/>
        <w:ind w:firstLine="709"/>
        <w:jc w:val="both"/>
      </w:pPr>
      <w:r>
        <w:rPr>
          <w:b w:val="0"/>
          <w:i w:val="0"/>
        </w:rPr>
        <w:t>A Ré responde objetivamente pelos danos causados ao Autor, aplicando-se, ainda, a Súmula 479/STJ às operações bancárias conexas.</w:t>
      </w:r>
    </w:p>
    <w:p>
      <w:pPr>
        <w:keepNext/>
        <w:spacing w:after="160" w:line="276" w:lineRule="auto" w:before="200"/>
        <w:jc w:val="both"/>
      </w:pPr>
      <w:r>
        <w:rPr>
          <w:b/>
          <w:i w:val="0"/>
        </w:rPr>
        <w:t>X – DA REPETIÇÃO DO INDÉBITO EM DOBRO — CDC, ART. 42 § ÚNICO</w:t>
      </w:r>
    </w:p>
    <w:p>
      <w:pPr>
        <w:spacing w:after="160" w:line="276" w:lineRule="auto"/>
        <w:ind w:firstLine="709"/>
        <w:jc w:val="both"/>
      </w:pPr>
      <w:r>
        <w:rPr>
          <w:b w:val="0"/>
          <w:i w:val="0"/>
        </w:rPr>
        <w:t>Os valores indevidamente cobrados a título de prêmio, inclusive os juros sobre eles incidentes, devem ser restituídos em dobro, nos termos do art. 42, parágrafo único, do CDC:</w:t>
      </w:r>
    </w:p>
    <w:p>
      <w:pPr>
        <w:spacing w:after="160" w:line="276" w:lineRule="auto"/>
        <w:ind w:left="2268"/>
        <w:jc w:val="both"/>
      </w:pPr>
      <w:r>
        <w:rPr>
          <w:b w:val="0"/>
          <w:i w:val="0"/>
          <w:sz w:val="22"/>
        </w:rPr>
        <w:t>"O consumidor cobrado em quantia indevida tem direito à repetição do indébito, por valor igual ao dobro do que pagou em excesso, acrescido de correção monetária e juros legais, salvo hipótese de engano justificável."</w:t>
      </w:r>
    </w:p>
    <w:p>
      <w:pPr>
        <w:spacing w:after="160" w:line="276" w:lineRule="auto"/>
        <w:ind w:firstLine="709"/>
        <w:jc w:val="both"/>
      </w:pPr>
      <w:r>
        <w:rPr>
          <w:b w:val="0"/>
          <w:i w:val="0"/>
        </w:rPr>
        <w:t>O STJ, no julgamento do EAREsp 676.608/RS (Corte Especial, Rel. Min. Og Fernandes, j. 21/10/2020), pacificou que a restituição em dobro independe da comprovação de má-fé, bastando que a cobrança indevida contrarie a boa-fé objetiva — exatamente o caso, pois a cobrança do prêmio decorreu de venda casada. Os valores a restituir são: (i) o prêmio nominal retido e repassado (R$ 780,00; em dobro, R$ 1.560,00); e (ii) os juros da operação sobre ele incidentes, na medida do pagamento das parcelas, totalizando R$ 2.247,23 (R$ 4.494,46 em dobro), conforme projeção acima, com correção monetária pelo INPC desde cada desembolso e juros de mora de 1% ao mês desde a citação. Requer-se, ainda, a apresentação, pela Ré, de planilha completa dos valores retidos e repassados a título de prêmio, com datas e valores, para fins de liquidação.</w:t>
      </w:r>
    </w:p>
    <w:p>
      <w:pPr>
        <w:keepNext/>
        <w:spacing w:after="160" w:line="276" w:lineRule="auto" w:before="200"/>
        <w:jc w:val="both"/>
      </w:pPr>
      <w:r>
        <w:rPr>
          <w:b/>
          <w:i w:val="0"/>
        </w:rPr>
        <w:t>XI – DO DANO MORAL</w:t>
      </w:r>
    </w:p>
    <w:p>
      <w:pPr>
        <w:spacing w:after="160" w:line="276" w:lineRule="auto"/>
        <w:ind w:firstLine="709"/>
        <w:jc w:val="both"/>
      </w:pPr>
      <w:r>
        <w:rPr>
          <w:b w:val="0"/>
          <w:i w:val="0"/>
        </w:rPr>
        <w:t>O dano moral decorre do fato de ter sido o Autor, trabalhador de renda modesta, compelido a financiar, com juros de 4,98% ao mês durante 48 meses, um produto que não escolheu, de seguradora que sequer lhe é apresentada, com valor retido do crédito e repassado a terceiro desconhecido, em prática vedada por tese vinculante do STJ. A conduta ultrapassa o mero aborrecimento: compromete a renda alimentar do Autor por quatro anos e foi reiterada em dois contratos em oito dias. Requer-se a fixação da indenização em valor não inferior a R$ 10.000,00 (dez mil reais), considerando seu caráter compensatório e punitivo-pedagógico, à luz do porte econômico da Ré.</w:t>
      </w:r>
    </w:p>
    <w:p>
      <w:pPr>
        <w:keepNext/>
        <w:spacing w:after="160" w:line="276" w:lineRule="auto" w:before="200"/>
        <w:jc w:val="both"/>
      </w:pPr>
      <w:r>
        <w:rPr>
          <w:b/>
          <w:i w:val="0"/>
        </w:rPr>
        <w:t>XII – DA TEORIA DO DESVIO PRODUTIVO DO CONSUMIDOR</w:t>
      </w:r>
    </w:p>
    <w:p>
      <w:pPr>
        <w:spacing w:after="160" w:line="276" w:lineRule="auto"/>
        <w:ind w:firstLine="709"/>
        <w:jc w:val="both"/>
      </w:pPr>
      <w:r>
        <w:rPr>
          <w:b w:val="0"/>
          <w:i w:val="0"/>
        </w:rPr>
        <w:t>O Autor foi obrigado a despender tempo útil produtivo para solucionar problema a que não deu causa — reunindo documentos, buscando orientação jurídica, contratando advogado e ajuizando a presente ação. A Teoria do Desvio Produtivo (Marcos Dessaune) reconhece esse tempo como bem jurídico autônomo, e a Súmula 30 da Turma Recursal do TJBA consolida:</w:t>
      </w:r>
    </w:p>
    <w:p>
      <w:pPr>
        <w:spacing w:after="160" w:line="276" w:lineRule="auto"/>
        <w:ind w:left="2268"/>
        <w:jc w:val="both"/>
      </w:pPr>
      <w:r>
        <w:rPr>
          <w:b w:val="0"/>
          <w:i w:val="0"/>
          <w:sz w:val="22"/>
        </w:rPr>
        <w:t>"A usurpação do tempo do consumidor na tentativa de solucionar, extrajudicialmente, problema a que não deu causa, pode caracterizar, a depender das circunstâncias do caso concreto, o denominado desvio produtivo, do que decorre o dever de indenizar pelo dano causado."</w:t>
      </w:r>
    </w:p>
    <w:p>
      <w:pPr>
        <w:spacing w:after="160" w:line="276" w:lineRule="auto"/>
        <w:ind w:firstLine="709"/>
        <w:jc w:val="both"/>
      </w:pPr>
      <w:r>
        <w:rPr>
          <w:b w:val="0"/>
          <w:i w:val="0"/>
        </w:rPr>
        <w:t>Requer-se, a esse título, a fixação de indenização autônoma em R$ 2.000,00 (dois mil reais).</w:t>
      </w:r>
    </w:p>
    <w:p>
      <w:pPr>
        <w:keepNext/>
        <w:spacing w:after="160" w:line="276" w:lineRule="auto" w:before="200"/>
        <w:jc w:val="both"/>
      </w:pPr>
      <w:r>
        <w:rPr>
          <w:b/>
          <w:i w:val="0"/>
        </w:rPr>
        <w:t>XIII – DA TUTELA DE URGÊNCIA (ART. 300, CPC)</w:t>
      </w:r>
    </w:p>
    <w:p>
      <w:pPr>
        <w:spacing w:after="160" w:line="276" w:lineRule="auto"/>
        <w:ind w:firstLine="709"/>
        <w:jc w:val="both"/>
      </w:pPr>
      <w:r>
        <w:rPr>
          <w:b w:val="0"/>
          <w:i w:val="0"/>
        </w:rPr>
        <w:t>Fumus boni iuris: a probabilidade do direito é inequívoca: (i) os próprios instrumentos informam o seguro financiado, o repasse a "empresa contratada" não identificada e a opção "SIM" já assinalada, no mesmo ato do crédito; (ii) não há proposta autônoma, apólice ou certificado; (iii) o mesmo padrão se repetiu em dois contratos em oito dias; e (iv) a conduta configura prima facie a venda casada vedada pelo CDC e pelo Tema 972/STJ.</w:t>
      </w:r>
    </w:p>
    <w:p>
      <w:pPr>
        <w:spacing w:after="160" w:line="276" w:lineRule="auto"/>
        <w:ind w:firstLine="709"/>
        <w:jc w:val="both"/>
      </w:pPr>
      <w:r>
        <w:rPr>
          <w:b w:val="0"/>
          <w:i w:val="0"/>
        </w:rPr>
        <w:t>Periculum in mora: o prêmio está embutido nas parcelas que começarão a ser descontadas em folha a partir de 21/10/2026, em duas consignações concomitantes, ao longo de 48 meses. Cada desconto sobre a remuneração do Autor consolida o prejuízo e dificulta a restituição.</w:t>
      </w:r>
    </w:p>
    <w:p>
      <w:pPr>
        <w:spacing w:after="160" w:line="276" w:lineRule="auto"/>
        <w:ind w:firstLine="709"/>
        <w:jc w:val="both"/>
      </w:pPr>
      <w:r>
        <w:rPr>
          <w:b w:val="0"/>
          <w:i w:val="0"/>
        </w:rPr>
        <w:t>Presentes os requisitos, requer-se a concessão da tutela de urgência antecipada, inaudita altera pars, antes do primeiro desconto, para: (a) determinar à Ré que identifique, em 5 (cinco) dias úteis, a seguradora e a apólice a que se vinculou o prêmio e providencie o cancelamento do seguro nos dois contratos; (b) determinar que, até o julgamento, os descontos sejam limitados às parcelas sem o componente do seguro, estimadas, de forma proporcional e a confirmar pela Ré, em R$ 310,55 (Contrato 1) e R$ 61,29 (Contrato 2); e (c) impor multa diária (astreintes) de R$ 500,00 por dia de descumprimento, com majoração para R$ 1.000,00/dia após 10 dias.</w:t>
      </w:r>
    </w:p>
    <w:p>
      <w:pPr>
        <w:keepNext/>
        <w:spacing w:after="160" w:line="276" w:lineRule="auto" w:before="200"/>
        <w:jc w:val="both"/>
      </w:pPr>
      <w:r>
        <w:rPr>
          <w:b/>
          <w:i w:val="0"/>
        </w:rPr>
        <w:t>XIV – DA INVERSÃO DO ÔNUS DA PROVA</w:t>
      </w:r>
    </w:p>
    <w:p>
      <w:pPr>
        <w:spacing w:after="160" w:line="276" w:lineRule="auto"/>
        <w:ind w:firstLine="709"/>
        <w:jc w:val="both"/>
      </w:pPr>
      <w:r>
        <w:rPr>
          <w:b w:val="0"/>
          <w:i w:val="0"/>
        </w:rPr>
        <w:t>Nos termos do art. 6º, VIII, do CDC, presentes a hipossuficiência técnica do Autor e a verossimilhança das alegações, requer-se a inversão do ônus da prova, impondo-se à Ré demonstrar: (i) a identificação da seguradora e a apólice ou o certificado individual; (ii) a proposta de adesão específica e a evidência de que o consumidor teve acesso prévio às condições gerais; (iii) a oferta efetiva da opção de não contratar o seguro ou de contratá-lo com seguradora distinta, sem prejuízo da concessão do crédito (Tema 972/STJ e Res. CNSP nº 382/2020); (iv) a planilha completa dos prêmios retidos e repassados, com datas e valores, e a comissão ou remuneração auferida pela Ré ou por terceiros na intermediação; e (v) o cumprimento do dever de informação (CDC, art. 6º, III).</w:t>
      </w:r>
    </w:p>
    <w:p>
      <w:pPr>
        <w:keepNext/>
        <w:spacing w:after="160" w:line="276" w:lineRule="auto" w:before="200"/>
        <w:jc w:val="both"/>
      </w:pPr>
      <w:r>
        <w:rPr>
          <w:b/>
          <w:i w:val="0"/>
        </w:rPr>
        <w:t>XV – DOS PEDIDOS</w:t>
      </w:r>
    </w:p>
    <w:p>
      <w:pPr>
        <w:spacing w:after="160" w:line="276" w:lineRule="auto"/>
        <w:jc w:val="both"/>
      </w:pPr>
      <w:r>
        <w:rPr>
          <w:b w:val="0"/>
          <w:i w:val="0"/>
        </w:rPr>
        <w:t>Diante de todo o exposto, requer a Vossa Excelência:</w:t>
      </w:r>
    </w:p>
    <w:p>
      <w:pPr>
        <w:spacing w:after="160" w:line="276" w:lineRule="auto"/>
        <w:jc w:val="both"/>
      </w:pPr>
      <w:r>
        <w:rPr>
          <w:b w:val="0"/>
          <w:i w:val="0"/>
        </w:rPr>
        <w:t>1. Os benefícios da JUSTIÇA GRATUITA, nos termos do art. 98 do CPC, conforme declaração anexa;</w:t>
      </w:r>
    </w:p>
    <w:p>
      <w:pPr>
        <w:spacing w:after="160" w:line="276" w:lineRule="auto"/>
        <w:jc w:val="both"/>
      </w:pPr>
      <w:r>
        <w:rPr>
          <w:b w:val="0"/>
          <w:i w:val="0"/>
        </w:rPr>
        <w:t>2. A INVERSÃO DO ÔNUS DA PROVA, nos termos do art. 6º, VIII, do CDC, impondo-se à Ré a comprovação dos itens listados no Capítulo XIV;</w:t>
      </w:r>
    </w:p>
    <w:p>
      <w:pPr>
        <w:spacing w:after="160" w:line="276" w:lineRule="auto"/>
        <w:jc w:val="both"/>
      </w:pPr>
      <w:r>
        <w:rPr>
          <w:b w:val="0"/>
          <w:i w:val="0"/>
        </w:rPr>
        <w:t>3. A concessão de TUTELA DE URGÊNCIA ANTECIPADA, inaudita altera pars, antes do primeiro desconto (21/10/2026), determinando à Ré, no prazo de 5 (cinco) dias úteis: a identificação da seguradora e da apólice; o cancelamento do seguro nos dois contratos; a limitação dos descontos às parcelas sem o componente do seguro; a abstenção de qualquer cobrança vinculada ao seguro contestado; e multa diária de R$ 500,00, majorada para R$ 1.000,00 após 10 dias de descumprimento;</w:t>
      </w:r>
    </w:p>
    <w:p>
      <w:pPr>
        <w:spacing w:after="160" w:line="276" w:lineRule="auto"/>
        <w:jc w:val="both"/>
      </w:pPr>
      <w:r>
        <w:rPr>
          <w:b w:val="0"/>
          <w:i w:val="0"/>
        </w:rPr>
        <w:t>4. A CITAÇÃO da Ré para, querendo, contestar a presente ação no prazo legal, e a inclusão da seguradora no polo passivo, se e quando identificada;</w:t>
      </w:r>
    </w:p>
    <w:p>
      <w:pPr>
        <w:spacing w:after="160" w:line="276" w:lineRule="auto"/>
        <w:jc w:val="both"/>
      </w:pPr>
      <w:r>
        <w:rPr>
          <w:b w:val="0"/>
          <w:i w:val="0"/>
        </w:rPr>
        <w:t>5. A PROCEDÊNCIA TOTAL DA AÇÃO, para que sejam:</w:t>
      </w:r>
    </w:p>
    <w:p>
      <w:pPr>
        <w:spacing w:after="160" w:line="276" w:lineRule="auto"/>
        <w:jc w:val="both"/>
      </w:pPr>
      <w:r>
        <w:rPr>
          <w:b w:val="0"/>
          <w:i w:val="0"/>
        </w:rPr>
        <w:t>a) declarada a INEFICÁCIA (ou, subsidiariamente, a INEXISTÊNCIA) da contratação do seguro prestamista financiado nas CCBs 266801120000 e 267393180003, em razão da venda casada (CDC, art. 39, I; Tema 972/STJ), com o cancelamento definitivo do vínculo;</w:t>
      </w:r>
    </w:p>
    <w:p>
      <w:pPr>
        <w:spacing w:after="160" w:line="276" w:lineRule="auto"/>
        <w:jc w:val="both"/>
      </w:pPr>
      <w:r>
        <w:rPr>
          <w:b w:val="0"/>
          <w:i w:val="0"/>
        </w:rPr>
        <w:t>b) condenada a Ré em OBRIGAÇÃO DE FAZER consistente na cessação imediata de quaisquer cobranças vinculadas ao seguro, na exclusão do prêmio e dos juros dele decorrentes do saldo devedor e na readequação das parcelas dos dois contratos;</w:t>
      </w:r>
    </w:p>
    <w:p>
      <w:pPr>
        <w:spacing w:after="160" w:line="276" w:lineRule="auto"/>
        <w:jc w:val="both"/>
      </w:pPr>
      <w:r>
        <w:rPr>
          <w:b w:val="0"/>
          <w:i w:val="0"/>
        </w:rPr>
        <w:t>c) condenada a Ré à REPETIÇÃO DO INDÉBITO EM DOBRO, nos termos do art. 42, § único, do CDC e do EAREsp 676.608/RS, restituindo o prêmio nominal retido (R$ 780,00) e os juros sobre ele incidentes, projetados em R$ 2.247,23 no total (R$ 4.494,46 em dobro), valor a ser apurado em liquidação conforme os descontos efetivamente realizados, acrescidos de correção monetária pelo INPC desde cada desembolso e juros de mora de 1% ao mês desde a citação;</w:t>
      </w:r>
    </w:p>
    <w:p>
      <w:pPr>
        <w:spacing w:after="160" w:line="276" w:lineRule="auto"/>
        <w:jc w:val="both"/>
      </w:pPr>
      <w:r>
        <w:rPr>
          <w:b w:val="0"/>
          <w:i w:val="0"/>
        </w:rPr>
        <w:t>d) condenada a Ré ao pagamento de INDENIZAÇÃO POR DANOS MORAIS em valor não inferior a R$ 10.000,00 (dez mil reais), acrescido de correção monetária desde o arbitramento (Súmula 362/STJ) e juros de mora desde a citação;</w:t>
      </w:r>
    </w:p>
    <w:p>
      <w:pPr>
        <w:spacing w:after="160" w:line="276" w:lineRule="auto"/>
        <w:jc w:val="both"/>
      </w:pPr>
      <w:r>
        <w:rPr>
          <w:b w:val="0"/>
          <w:i w:val="0"/>
        </w:rPr>
        <w:t>e) condenada a Ré ao pagamento de INDENIZAÇÃO POR DESVIO PRODUTIVO DO CONSUMIDOR em valor não inferior a R$ 2.000,00 (dois mil reais);</w:t>
      </w:r>
    </w:p>
    <w:p>
      <w:pPr>
        <w:spacing w:after="160" w:line="276" w:lineRule="auto"/>
        <w:jc w:val="both"/>
      </w:pPr>
      <w:r>
        <w:rPr>
          <w:b w:val="0"/>
          <w:i w:val="0"/>
        </w:rPr>
        <w:t>6. A apresentação, pela Ré, de PLANILHA COMPLETA dos valores retidos e repassados a título de prêmio, com datas e valores, para fins de liquidação;</w:t>
      </w:r>
    </w:p>
    <w:p>
      <w:pPr>
        <w:spacing w:after="160" w:line="276" w:lineRule="auto"/>
        <w:jc w:val="both"/>
      </w:pPr>
      <w:r>
        <w:rPr>
          <w:b w:val="0"/>
          <w:i w:val="0"/>
        </w:rPr>
        <w:t>7. A CONDENAÇÃO da Ré ao pagamento das custas processuais e honorários advocatícios no percentual de 20% sobre o valor da condenação, em caso de recurso, nos termos do art. 85, §§ 2º e 11, do CPC;</w:t>
      </w:r>
    </w:p>
    <w:p>
      <w:pPr>
        <w:spacing w:after="160" w:line="276" w:lineRule="auto"/>
        <w:jc w:val="both"/>
      </w:pPr>
      <w:r>
        <w:rPr>
          <w:b w:val="0"/>
          <w:i w:val="0"/>
        </w:rPr>
        <w:t>8. A PRODUÇÃO DE TODAS AS PROVAS EM DIREITO ADMITIDAS, especialmente documental e depoimento pessoal do representante legal da Ré, sob pena de confissão;</w:t>
      </w:r>
    </w:p>
    <w:p>
      <w:pPr>
        <w:spacing w:after="160" w:line="276" w:lineRule="auto"/>
        <w:jc w:val="both"/>
      </w:pPr>
      <w:r>
        <w:rPr>
          <w:b w:val="0"/>
          <w:i w:val="0"/>
        </w:rPr>
        <w:t>9. A informação de que a parte Autora NÃO POSSUI INTERESSE na realização de audiência de conciliação prévia.</w:t>
      </w:r>
    </w:p>
    <w:p>
      <w:pPr>
        <w:keepNext/>
        <w:spacing w:after="160" w:line="276" w:lineRule="auto" w:before="200"/>
        <w:jc w:val="both"/>
      </w:pPr>
      <w:r>
        <w:rPr>
          <w:b/>
          <w:i w:val="0"/>
        </w:rPr>
        <w:t>XVI – DO VALOR DA CAUSA</w:t>
      </w:r>
    </w:p>
    <w:p>
      <w:pPr>
        <w:spacing w:after="160" w:line="276" w:lineRule="auto"/>
        <w:ind w:firstLine="709"/>
        <w:jc w:val="both"/>
      </w:pPr>
      <w:r>
        <w:rPr>
          <w:b w:val="0"/>
          <w:i w:val="0"/>
        </w:rPr>
        <w:t>Nos termos do art. 292 do CPC, atribui-se à causa o valor de R$ 16.494,46, correspondente à soma da repetição em dobro projetada do prêmio com os juros da operação (R$ 4.494,46), do dano moral (R$ 10.000,00) e do desvio produtivo (R$ 2.000,00), sem prejuízo da apuração definitiva em liquidação de sentença.</w:t>
      </w:r>
    </w:p>
    <w:p>
      <w:pPr>
        <w:keepNext/>
        <w:spacing w:after="160" w:line="276" w:lineRule="auto" w:before="200"/>
        <w:jc w:val="both"/>
      </w:pPr>
      <w:r>
        <w:rPr>
          <w:b/>
          <w:i w:val="0"/>
        </w:rPr>
        <w:t>DOS DOCUMENTOS</w:t>
      </w:r>
    </w:p>
    <w:p>
      <w:pPr>
        <w:spacing w:after="160" w:line="276" w:lineRule="auto"/>
        <w:jc w:val="both"/>
      </w:pPr>
      <w:r>
        <w:rPr>
          <w:b w:val="0"/>
          <w:i w:val="0"/>
        </w:rPr>
        <w:t>1. Procuração e declaração de hipossuficiência;</w:t>
      </w:r>
    </w:p>
    <w:p>
      <w:pPr>
        <w:spacing w:after="160" w:line="276" w:lineRule="auto"/>
        <w:jc w:val="both"/>
      </w:pPr>
      <w:r>
        <w:rPr>
          <w:b w:val="0"/>
          <w:i w:val="0"/>
        </w:rPr>
        <w:t>2. Documento de identificação (RG) e CPF;</w:t>
      </w:r>
    </w:p>
    <w:p>
      <w:pPr>
        <w:spacing w:after="160" w:line="276" w:lineRule="auto"/>
        <w:jc w:val="both"/>
      </w:pPr>
      <w:r>
        <w:rPr>
          <w:b w:val="0"/>
          <w:i w:val="0"/>
        </w:rPr>
        <w:t>3. Comprovante de residência;</w:t>
      </w:r>
    </w:p>
    <w:p>
      <w:pPr>
        <w:spacing w:after="160" w:line="276" w:lineRule="auto"/>
        <w:jc w:val="both"/>
      </w:pPr>
      <w:r>
        <w:rPr>
          <w:b w:val="0"/>
          <w:i w:val="0"/>
        </w:rPr>
        <w:t>4. Cédulas de Crédito Bancário n.º 266801120000 e n.º 267393180003, com a cláusula 52 e o campo de aceite do seguro;</w:t>
      </w:r>
    </w:p>
    <w:p>
      <w:pPr>
        <w:spacing w:after="160" w:line="276" w:lineRule="auto"/>
        <w:jc w:val="both"/>
      </w:pPr>
      <w:r>
        <w:rPr>
          <w:b w:val="0"/>
          <w:i w:val="0"/>
        </w:rPr>
        <w:t>5. Memória de Cálculo (Laudo Unificado de Cálculo Revisional) e demonstrativo do valor do seguro com juros;</w:t>
      </w:r>
    </w:p>
    <w:p>
      <w:pPr>
        <w:spacing w:after="160" w:line="276" w:lineRule="auto"/>
        <w:jc w:val="both"/>
      </w:pPr>
      <w:r>
        <w:rPr>
          <w:b w:val="0"/>
          <w:i w:val="0"/>
        </w:rPr>
        <w:t>6. Contracheques com a rubrica de consignação [a juntar quando disponíveis].</w:t>
      </w:r>
    </w:p>
    <w:p>
      <w:pPr>
        <w:spacing w:after="160" w:line="276" w:lineRule="auto"/>
        <w:jc w:val="both"/>
      </w:pPr>
      <w:r>
        <w:rPr>
          <w:b w:val="0"/>
          <w:i w:val="0"/>
        </w:rPr>
        <w:t>Termos em que, pede deferimento.</w:t>
      </w:r>
    </w:p>
    <w:p>
      <w:pPr>
        <w:spacing w:after="160" w:line="276" w:lineRule="auto"/>
        <w:jc w:val="both"/>
      </w:pPr>
      <w:r>
        <w:rPr>
          <w:b w:val="0"/>
          <w:i w:val="0"/>
        </w:rPr>
        <w:t>Salvador/BA, 7 de outubro de 2026.</w:t>
      </w:r>
    </w:p>
    <w:p>
      <w:pPr>
        <w:spacing w:after="160" w:line="276" w:lineRule="auto"/>
        <w:jc w:val="center"/>
      </w:pPr>
      <w:r>
        <w:rPr>
          <w:b w:val="0"/>
          <w:i w:val="0"/>
        </w:rPr>
        <w:t>______________________________________</w:t>
      </w:r>
    </w:p>
    <w:p>
      <w:pPr>
        <w:spacing w:after="160" w:line="276" w:lineRule="auto"/>
        <w:jc w:val="center"/>
      </w:pPr>
      <w:r>
        <w:rPr>
          <w:b/>
          <w:i w:val="0"/>
        </w:rPr>
        <w:t>CLEYTON DA SILVA BARBOSA - OAB/BA 92.148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