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1F3864" w:sz="8" w:space="4"/>
        </w:pBdr>
        <w:spacing w:after="200" w:before="360" w:lin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A — PETIÇÃO DE INTERPOSIÇÃO</w:t>
      </w:r>
    </w:p>
    <w:p>
      <w:pPr>
        <w:spacing w:after="2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AO JUÍZO DA 4ª VARA DO SISTEMA DOS JUIZADOS ESPECIAIS DO CONSUMIDOR (VESPERTINO) DA COMARCA DE SALVADOR — BAHIA</w:t>
      </w:r>
    </w:p>
    <w:p>
      <w:pPr>
        <w:spacing w:after="120" w:line="360"/>
        <w:ind w:left="3402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Processo nº 0165608-27.2026.8.05.0001</w:t>
      </w:r>
    </w:p>
    <w:p>
      <w:pPr>
        <w:spacing w:after="120" w:line="360"/>
        <w:ind w:left="3402"/>
        <w:jc w:val="both"/>
      </w:pPr>
      <w:r>
        <w:rPr>
          <w:rFonts w:ascii="Arial" w:cs="Arial" w:eastAsia="Arial" w:hAnsi="Arial"/>
          <w:sz w:val="24"/>
          <w:szCs w:val="24"/>
        </w:rPr>
        <w:t xml:space="preserve">Recorrente: MARY RAIMUNDA SANTOS ALMEIDA</w:t>
      </w:r>
    </w:p>
    <w:p>
      <w:pPr>
        <w:spacing w:after="240" w:line="360"/>
        <w:ind w:left="3402"/>
        <w:jc w:val="both"/>
      </w:pPr>
      <w:r>
        <w:rPr>
          <w:rFonts w:ascii="Arial" w:cs="Arial" w:eastAsia="Arial" w:hAnsi="Arial"/>
          <w:sz w:val="24"/>
          <w:szCs w:val="24"/>
        </w:rPr>
        <w:t xml:space="preserve">Recorrido: BANCO SANTANDER (BRASIL) S.A.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MARY RAIMUNDA SANTOS ALMEIDA</w:t>
      </w:r>
      <w:r>
        <w:rPr>
          <w:rFonts w:ascii="Arial" w:cs="Arial" w:eastAsia="Arial" w:hAnsi="Arial"/>
          <w:sz w:val="24"/>
          <w:szCs w:val="24"/>
        </w:rPr>
        <w:t xml:space="preserve">, já qualificada nos autos da AÇÃO DE DECLARAÇÃO DE INEXISTÊNCIA DE RELAÇÃO OBRIGACIONAL C/C REPETIÇÃO EM DOBRO DO INDÉBITO E INDENIZAÇÃO POR DANOS EXTRAPATRIMONIAIS que move em face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BANCO SANTANDER (BRASIL) S.A.</w:t>
      </w:r>
      <w:r>
        <w:rPr>
          <w:rFonts w:ascii="Arial" w:cs="Arial" w:eastAsia="Arial" w:hAnsi="Arial"/>
          <w:sz w:val="24"/>
          <w:szCs w:val="24"/>
        </w:rPr>
        <w:t xml:space="preserve">, por seu advogado signatário, vem, respeitosamente, perante Vossa Excelência, com fundamento no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art. 41 da Lei nº 9.099/95</w:t>
      </w:r>
      <w:r>
        <w:rPr>
          <w:rFonts w:ascii="Arial" w:cs="Arial" w:eastAsia="Arial" w:hAnsi="Arial"/>
          <w:sz w:val="24"/>
          <w:szCs w:val="24"/>
        </w:rPr>
        <w:t xml:space="preserve">, interpor o presente</w:t>
      </w: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 INOMINADO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contra a r. sentença de Id. 207003520, que julgou IMPROCEDENTES os pedidos iniciais, pelas razões anexas, que requer sejam recebidas e processadas.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 tempestividade.</w:t>
      </w:r>
      <w:r>
        <w:rPr>
          <w:rFonts w:ascii="Arial" w:cs="Arial" w:eastAsia="Arial" w:hAnsi="Arial"/>
          <w:sz w:val="24"/>
          <w:szCs w:val="24"/>
        </w:rPr>
        <w:t xml:space="preserve"> A recorrente foi intimada da sentença em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[30/09/2026 — VERIFICAR a data de intimação no PROJUDI: a sentença foi assinada em 03/10/2026]</w:t>
      </w:r>
      <w:r>
        <w:rPr>
          <w:rFonts w:ascii="Arial" w:cs="Arial" w:eastAsia="Arial" w:hAnsi="Arial"/>
          <w:sz w:val="24"/>
          <w:szCs w:val="24"/>
        </w:rPr>
        <w:t xml:space="preserve">. O prazo de 10 (dez) dias (art. 42 da Lei nº 9.099/95) encontra-se em curso, sendo o recurso tempestivo.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preparo e da gratuidade.</w:t>
      </w:r>
      <w:r>
        <w:rPr>
          <w:rFonts w:ascii="Arial" w:cs="Arial" w:eastAsia="Arial" w:hAnsi="Arial"/>
          <w:sz w:val="24"/>
          <w:szCs w:val="24"/>
        </w:rPr>
        <w:t xml:space="preserve"> A sentença não apreciou o pedido de gratuidade da justiça formulado na inicial, reservando a análise “à hipótese de interposição de recurso” (Id. 207003520, pág. 204 e dispositivo). Renova-se, assim, o pedido, instruído com o Histórico de Créditos do INSS (competência 08/2026 — Doc. 01), que comprova a renda e o comprometimento dela com consignações (v. Seção II das razões). Requerida a gratuidade em sede recursal, fica a recorrente dispensada do preparo até a apreciação do pedido (art. 42, § 1º, da Lei nº 9.099/95; art. 99, § 7º, do CPC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). Subsidiariamente, em caso de indeferimento, requer-se prazo para o recolhimento, evitando-se a deserção.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 prioridade.</w:t>
      </w:r>
      <w:r>
        <w:rPr>
          <w:rFonts w:ascii="Arial" w:cs="Arial" w:eastAsia="Arial" w:hAnsi="Arial"/>
          <w:sz w:val="24"/>
          <w:szCs w:val="24"/>
        </w:rPr>
        <w:t xml:space="preserve"> A recorrente tem 66 anos (nascida em 08/02/1960), razão pela qual requer a tramitação prioritária (art. 1.048, I, do CPC; Lei nº 10.741/2003, art. 71).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Requer o recebimento do recurso e, após as contrarrazões, a remessa dos autos à Egrégia Turma Recursal competente.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Salvador/BA, 5 de outubro de 2026.</w:t>
      </w: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</w:t>
      </w:r>
    </w:p>
    <w:p>
      <w:pPr>
        <w:spacing w:after="12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OAB/MS 17.311 — OAB/BA 92.148</w:t>
      </w:r>
    </w:p>
    <w:p>
      <w:r>
        <w:br w:type="page"/>
      </w:r>
    </w:p>
    <w:p>
      <w:pPr>
        <w:keepNext/>
        <w:pBdr>
          <w:bottom w:val="single" w:color="1F3864" w:sz="8" w:space="4"/>
        </w:pBdr>
        <w:spacing w:after="200" w:before="360" w:lin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B — RAZÕES RECURSAIS</w:t>
      </w:r>
    </w:p>
    <w:p>
      <w:pPr>
        <w:spacing w:after="2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EGRÉGIA TURMA RECURSAL DOS JUIZADOS ESPECIAIS CÍVEIS DO ESTADO DA BAHIA</w:t>
      </w:r>
    </w:p>
    <w:p>
      <w:pPr>
        <w:spacing w:after="120" w:line="360"/>
        <w:ind w:left="3402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 Inominado</w:t>
      </w:r>
      <w:r>
        <w:rPr>
          <w:rFonts w:ascii="Arial" w:cs="Arial" w:eastAsia="Arial" w:hAnsi="Arial"/>
          <w:sz w:val="24"/>
          <w:szCs w:val="24"/>
        </w:rPr>
        <w:t xml:space="preserve"> — Processo de origem nº 0165608-27.2026.8.05.0001 (4ª VSJE do Consumidor, Salvador/BA)</w:t>
      </w:r>
    </w:p>
    <w:p>
      <w:pPr>
        <w:spacing w:after="120" w:line="360"/>
        <w:ind w:left="3402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Recorrente:</w:t>
      </w:r>
      <w:r>
        <w:rPr>
          <w:rFonts w:ascii="Arial" w:cs="Arial" w:eastAsia="Arial" w:hAnsi="Arial"/>
          <w:sz w:val="24"/>
          <w:szCs w:val="24"/>
        </w:rPr>
        <w:t xml:space="preserve"> MARY RAIMUNDA SANTOS ALMEIDA (idosa — prioridade)</w:t>
      </w:r>
    </w:p>
    <w:p>
      <w:pPr>
        <w:spacing w:after="240" w:line="360"/>
        <w:ind w:left="3402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Recorrido:</w:t>
      </w:r>
      <w:r>
        <w:rPr>
          <w:rFonts w:ascii="Arial" w:cs="Arial" w:eastAsia="Arial" w:hAnsi="Arial"/>
          <w:sz w:val="24"/>
          <w:szCs w:val="24"/>
        </w:rPr>
        <w:t xml:space="preserve"> BANCO SANTANDER (BRASIL) S.A.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Colenda Turma, Eméritos Julgadores,</w:t>
      </w:r>
    </w:p>
    <w:p>
      <w:pPr>
        <w:keepNext/>
        <w:pBdr>
          <w:bottom w:val="single" w:color="1F3864" w:sz="8" w:space="4"/>
        </w:pBdr>
        <w:spacing w:after="200" w:before="360" w:lin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 — SÍNTESE DA DEMANDA E DA SENTENÇA RECORRIDA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recorrente, idosa, aposentada por incapacidade permanente e pensionista, descobriu descontos em seus dois benefícios previdenciários, sob a rubrica 216 (empréstimo consignado), relativos a três contratos que nega ter celebrado: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nº 180957451</w:t>
      </w:r>
      <w:r>
        <w:rPr>
          <w:rFonts w:ascii="Arial" w:cs="Arial" w:eastAsia="Arial" w:hAnsi="Arial"/>
          <w:sz w:val="24"/>
          <w:szCs w:val="24"/>
        </w:rPr>
        <w:t xml:space="preserve"> (R$ 217,10),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nº 185097140</w:t>
      </w:r>
      <w:r>
        <w:rPr>
          <w:rFonts w:ascii="Arial" w:cs="Arial" w:eastAsia="Arial" w:hAnsi="Arial"/>
          <w:sz w:val="24"/>
          <w:szCs w:val="24"/>
        </w:rPr>
        <w:t xml:space="preserve"> (R$ 12,00)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nº 204125174</w:t>
      </w:r>
      <w:r>
        <w:rPr>
          <w:rFonts w:ascii="Arial" w:cs="Arial" w:eastAsia="Arial" w:hAnsi="Arial"/>
          <w:sz w:val="24"/>
          <w:szCs w:val="24"/>
        </w:rPr>
        <w:t xml:space="preserve"> (R$ 43,60). Todos foram originados pelo Banco Olé Consignado S/A e “migrados” ao recorrido em 28/06/2021. Pediu a declaração de inexistência dos contratos, a repetição em dobro (R$ 13.812,80) e danos morais (R$ 40.000,00).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r. sentença julgou improcedentes todos os pedidos por entender que o banco comprovou que a autora “firmou o contrato em tela por meio de aposição de sua assinatura digital”, com “comprovante de transferência destinada a conta corrente de titularidade da parte demandante” (Id. 207003520, pág. 205), e que “há indícios suficientes nos autos da relação entabulada” (Súmula nº 10 da TU/BA).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duas premissas estão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equivocadas</w:t>
      </w:r>
      <w:r>
        <w:rPr>
          <w:rFonts w:ascii="Arial" w:cs="Arial" w:eastAsia="Arial" w:hAnsi="Arial"/>
          <w:sz w:val="24"/>
          <w:szCs w:val="24"/>
        </w:rPr>
        <w:t xml:space="preserve">, como se demonstra com os próprios documentos do recorrido: (i)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dois dos três contratos não são digitais</w:t>
      </w:r>
      <w:r>
        <w:rPr>
          <w:rFonts w:ascii="Arial" w:cs="Arial" w:eastAsia="Arial" w:hAnsi="Arial"/>
          <w:sz w:val="24"/>
          <w:szCs w:val="24"/>
        </w:rPr>
        <w:t xml:space="preserve">, são papel, e os dados que lhes dão conteúdo constam de página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foi assinada</w:t>
      </w:r>
      <w:r>
        <w:rPr>
          <w:rFonts w:ascii="Arial" w:cs="Arial" w:eastAsia="Arial" w:hAnsi="Arial"/>
          <w:sz w:val="24"/>
          <w:szCs w:val="24"/>
        </w:rPr>
        <w:t xml:space="preserve">, preenchida em momento posterior e com condições distintas das que constavam da proposta; e (ii)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titularidade da conta de destino jamais foi provada</w:t>
      </w:r>
      <w:r>
        <w:rPr>
          <w:rFonts w:ascii="Arial" w:cs="Arial" w:eastAsia="Arial" w:hAnsi="Arial"/>
          <w:sz w:val="24"/>
          <w:szCs w:val="24"/>
        </w:rPr>
        <w:t xml:space="preserve">, tanto que o próprio banco pediu, na contestação e na audiência, ofício à Caixa Econômica Federal para esclarecê-la, e a sentença presumiu o fato em desfavor da consumidora.</w:t>
      </w:r>
    </w:p>
    <w:p>
      <w:pPr>
        <w:keepNext/>
        <w:pBdr>
          <w:bottom w:val="single" w:color="1F3864" w:sz="8" w:space="4"/>
        </w:pBdr>
        <w:spacing w:after="200" w:before="360" w:lin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 — DA TEMPESTIVIDADE, DA ADMISSIBILIDADE, DA GRATUIDADE E DA PRIORIDADE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recurso é próprio (art. 41 da Lei nº 9.099/95), tempestivo (art. 42) e dirigido à Turma Recursal competente. A recorrente foi integralmente vencida e tem interesse recursal.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Gratuidade.</w:t>
      </w:r>
      <w:r>
        <w:rPr>
          <w:rFonts w:ascii="Arial" w:cs="Arial" w:eastAsia="Arial" w:hAnsi="Arial"/>
          <w:sz w:val="24"/>
          <w:szCs w:val="24"/>
        </w:rPr>
        <w:t xml:space="preserve"> A sentença deixou de apreciar o pedido, reservando-o para o recurso. Postula-se agora o deferimento (art. 5º, LXXIV, da CF; arts. 98 e 99, § 3º, do CPC). A declaração de hipossuficiência consta dos autos (Id. 202432172) e goza de presunção de veracidade (art. 99, § 3º, do CPC), que o recorrido, aliás, nunca infirmou. Para afastar qualquer dúvida, o Histórico de Créditos do INSS (competência 08/2026 — Doc. 01) mostra que a recorrente recebe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dois benefícios, de R$ 1.621,00 cada</w:t>
      </w:r>
      <w:r>
        <w:rPr>
          <w:rFonts w:ascii="Arial" w:cs="Arial" w:eastAsia="Arial" w:hAnsi="Arial"/>
          <w:sz w:val="24"/>
          <w:szCs w:val="24"/>
        </w:rPr>
        <w:t xml:space="preserve"> (aposentadoria por incapacidade permanente, NB 109.005.597-5, e pensão por morte por acidente de trabalho, NB 084.690.671-6), num total bruto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R$ 3.242,00</w:t>
      </w:r>
      <w:r>
        <w:rPr>
          <w:rFonts w:ascii="Arial" w:cs="Arial" w:eastAsia="Arial" w:hAnsi="Arial"/>
          <w:sz w:val="24"/>
          <w:szCs w:val="24"/>
        </w:rPr>
        <w:t xml:space="preserve">. Desse total são retirados,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todo mês, R$ 1.380,28 em consignações</w:t>
      </w:r>
      <w:r>
        <w:rPr>
          <w:rFonts w:ascii="Arial" w:cs="Arial" w:eastAsia="Arial" w:hAnsi="Arial"/>
          <w:sz w:val="24"/>
          <w:szCs w:val="24"/>
        </w:rPr>
        <w:t xml:space="preserve"> (R$ 692,79 em um benefício e R$ 687,49 no outro), isto é,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42,6% da renda</w:t>
      </w:r>
      <w:r>
        <w:rPr>
          <w:rFonts w:ascii="Arial" w:cs="Arial" w:eastAsia="Arial" w:hAnsi="Arial"/>
          <w:sz w:val="24"/>
          <w:szCs w:val="24"/>
        </w:rPr>
        <w:t xml:space="preserve">, ficando um líquido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R$ 1.861,72</w:t>
      </w:r>
      <w:r>
        <w:rPr>
          <w:rFonts w:ascii="Arial" w:cs="Arial" w:eastAsia="Arial" w:hAnsi="Arial"/>
          <w:sz w:val="24"/>
          <w:szCs w:val="24"/>
        </w:rPr>
        <w:t xml:space="preserve"> (R$ 928,21 + R$ 933,51). Quem tem quase metade da renda comprometida com descontos não pode arcar com custas e honorários de sucumbência (art. 55 da Lei nº 9.099/95) sem prejuízo do próprio sustento. Defere-se, pois, a gratuidade, com dispensa do preparo.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Prioridade.</w:t>
      </w:r>
      <w:r>
        <w:rPr>
          <w:rFonts w:ascii="Arial" w:cs="Arial" w:eastAsia="Arial" w:hAnsi="Arial"/>
          <w:sz w:val="24"/>
          <w:szCs w:val="24"/>
        </w:rPr>
        <w:t xml:space="preserve"> A recorrente tem 66 anos, motivo pelo qual requer a tramitação prioritária (art. 1.048, I, do CPC; Lei nº 10.741/2003, arts. 3º, 4º e 71).</w:t>
      </w:r>
    </w:p>
    <w:p>
      <w:pPr>
        <w:keepNext/>
        <w:pBdr>
          <w:bottom w:val="single" w:color="1F3864" w:sz="8" w:space="4"/>
        </w:pBdr>
        <w:spacing w:after="200" w:before="360" w:lin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III — DA DELIMITAÇÃO DO OBJETO DO RECURSO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Tendo a sentença sido de improcedência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total</w:t>
      </w:r>
      <w:r>
        <w:rPr>
          <w:rFonts w:ascii="Arial" w:cs="Arial" w:eastAsia="Arial" w:hAnsi="Arial"/>
          <w:sz w:val="24"/>
          <w:szCs w:val="24"/>
        </w:rPr>
        <w:t xml:space="preserve">, devolvem-se à Turma: (a) a validade dos três contratos impugnados (nº 180957451, nº 185097140 e nº 204125174), isto é, a prova da contratação e do recebimento do crédito; (b) a repetição em dobro; e (c) o dano moral, cujo valor, de R$ 40.000,00, é o postulado na inicial. Todos os fundamentos da sentença são impugnados especificamente, em atenção à dialeticidade (art. 42 da Lei nº 9.099/95; art. 1.013, §§ 1º e 2º, do CPC).</w:t>
      </w:r>
    </w:p>
    <w:p>
      <w:pPr>
        <w:keepNext/>
        <w:pBdr>
          <w:bottom w:val="single" w:color="1F3864" w:sz="8" w:space="4"/>
        </w:pBdr>
        <w:spacing w:after="200" w:before="360" w:lin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 — DAS RAZÕES DE REFORMA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IV.1 — DO ERRO DE FATO: A SENTENÇA VIU “ASSINATURA DIGITAL” ONDE HÁ PAPEL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afirma que a autora firmou “o contrato em tela por meio de aposição de sua assinatura digital” (Id. 207003520, pág. 205). Esse fundamento foi aplicado indistintamente aos três contratos, mas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só um deles é digital</w:t>
      </w:r>
      <w:r>
        <w:rPr>
          <w:rFonts w:ascii="Arial" w:cs="Arial" w:eastAsia="Arial" w:hAnsi="Arial"/>
          <w:sz w:val="24"/>
          <w:szCs w:val="24"/>
        </w:rPr>
        <w:t xml:space="preserve">. O próprio recorrido, na contestação, distingue as hipóteses: quanto aos contratos nº 180957451 e nº 185097140 diz apenas que há “instrumento em anexo devidamente assinado” (Id. 204392370, págs. 102 e 104), ao passo que somente quanto ao contrato nº 204125174 afirma que ele “foi firmado de forma digital (Contratação Digital)” (Id. 204392370, págs. 106-107). E os documentos confirmam: os contratos nº 180957451 e nº 185097140 estão instruídos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propostas em papel, com assinatura a caneta</w:t>
      </w:r>
      <w:r>
        <w:rPr>
          <w:rFonts w:ascii="Arial" w:cs="Arial" w:eastAsia="Arial" w:hAnsi="Arial"/>
          <w:sz w:val="24"/>
          <w:szCs w:val="24"/>
        </w:rPr>
        <w:t xml:space="preserve">, digitalizadas (Id. 204392371, pág. 120; Id. 204392372, pág. 131).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Não há, quanto a esses dois contratos,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assinatura digital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token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SMS de confirmação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selfie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biometria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IP</w:t>
      </w:r>
      <w:r>
        <w:rPr>
          <w:rFonts w:ascii="Arial" w:cs="Arial" w:eastAsia="Arial" w:hAnsi="Arial"/>
          <w:sz w:val="24"/>
          <w:szCs w:val="24"/>
        </w:rPr>
        <w:t xml:space="preserve"> nem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geolocalização</w:t>
      </w:r>
      <w:r>
        <w:rPr>
          <w:rFonts w:ascii="Arial" w:cs="Arial" w:eastAsia="Arial" w:hAnsi="Arial"/>
          <w:sz w:val="24"/>
          <w:szCs w:val="24"/>
        </w:rPr>
        <w:t xml:space="preserve">. A narrativa de contratação digital, com “foto do rosto”, código por SMS e resposta “SIM” (Id. 204392370, págs. 107-109),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corresponde aos documentos</w:t>
      </w:r>
      <w:r>
        <w:rPr>
          <w:rFonts w:ascii="Arial" w:cs="Arial" w:eastAsia="Arial" w:hAnsi="Arial"/>
          <w:sz w:val="24"/>
          <w:szCs w:val="24"/>
        </w:rPr>
        <w:t xml:space="preserve"> juntados para esses dois contratos. Uma contratação em papel não se prova com a descrição genérica de um fluxo eletrônico que não ocorreu, e a sentença, ao aplicar a todos o fundamento da “assinatura digital”, valorou mal a prova (*error in judicando* de fato).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IV.2 — DOS CONTRATOS Nº 180957451 E Nº 185097140: O QUE A AUTORA ASSINOU NÃO É O QUE O BANCO COBROU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IV.2.1 — AS PÁGINAS COM OS DADOS DO “CONTRATO” NÃO TÊM ASSINATURA, E A PÁGINA COM A ASSINATURA NÃO TEM DADOS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Cada contrato é composto por duas folhas (frente e verso). Examinando os arquivos juntados pelo recorrido, constata-se algo decisivo: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a)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frente</w:t>
      </w:r>
      <w:r>
        <w:rPr>
          <w:rFonts w:ascii="Arial" w:cs="Arial" w:eastAsia="Arial" w:hAnsi="Arial"/>
          <w:sz w:val="24"/>
          <w:szCs w:val="24"/>
        </w:rPr>
        <w:t xml:space="preserve"> do contrato nº 180957451 (Id. 204392371, pág. 118) é uma página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texto eletrônico</w:t>
      </w:r>
      <w:r>
        <w:rPr>
          <w:rFonts w:ascii="Arial" w:cs="Arial" w:eastAsia="Arial" w:hAnsi="Arial"/>
          <w:sz w:val="24"/>
          <w:szCs w:val="24"/>
        </w:rPr>
        <w:t xml:space="preserve">, e não imagem digitalizada de uma folha assinada: os dados do cliente, os valores e as condições (financiado, refinanciado, líquido, parcelas) são texto digital selecionável, datado de “SALVADOR, 6 DE DEZEMBRO DE 2019”.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há assinatura nessa página</w:t>
      </w:r>
      <w:r>
        <w:rPr>
          <w:rFonts w:ascii="Arial" w:cs="Arial" w:eastAsia="Arial" w:hAnsi="Arial"/>
          <w:sz w:val="24"/>
          <w:szCs w:val="24"/>
        </w:rPr>
        <w:t xml:space="preserve">;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b)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frente</w:t>
      </w:r>
      <w:r>
        <w:rPr>
          <w:rFonts w:ascii="Arial" w:cs="Arial" w:eastAsia="Arial" w:hAnsi="Arial"/>
          <w:sz w:val="24"/>
          <w:szCs w:val="24"/>
        </w:rPr>
        <w:t xml:space="preserve"> do contrato nº 185097140 (Id. 204392372, pág. 129), datada de “SALVADOR, 24 DE JANEIRO DE 2020”, é também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texto digital</w:t>
      </w:r>
      <w:r>
        <w:rPr>
          <w:rFonts w:ascii="Arial" w:cs="Arial" w:eastAsia="Arial" w:hAnsi="Arial"/>
          <w:sz w:val="24"/>
          <w:szCs w:val="24"/>
        </w:rPr>
        <w:t xml:space="preserve"> (os dados do cliente e os valores)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sobreposto a um formulário em branco digitalizado</w:t>
      </w:r>
      <w:r>
        <w:rPr>
          <w:rFonts w:ascii="Arial" w:cs="Arial" w:eastAsia="Arial" w:hAnsi="Arial"/>
          <w:sz w:val="24"/>
          <w:szCs w:val="24"/>
        </w:rPr>
        <w:t xml:space="preserve">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Também não há assinatura nessa página</w:t>
      </w:r>
      <w:r>
        <w:rPr>
          <w:rFonts w:ascii="Arial" w:cs="Arial" w:eastAsia="Arial" w:hAnsi="Arial"/>
          <w:sz w:val="24"/>
          <w:szCs w:val="24"/>
        </w:rPr>
        <w:t xml:space="preserve">;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c)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assinatura</w:t>
      </w:r>
      <w:r>
        <w:rPr>
          <w:rFonts w:ascii="Arial" w:cs="Arial" w:eastAsia="Arial" w:hAnsi="Arial"/>
          <w:sz w:val="24"/>
          <w:szCs w:val="24"/>
        </w:rPr>
        <w:t xml:space="preserve"> consta apenas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verso</w:t>
      </w:r>
      <w:r>
        <w:rPr>
          <w:rFonts w:ascii="Arial" w:cs="Arial" w:eastAsia="Arial" w:hAnsi="Arial"/>
          <w:sz w:val="24"/>
          <w:szCs w:val="24"/>
        </w:rPr>
        <w:t xml:space="preserve"> (Id. 204392371, pág. 119; Id. 204392372, pág. 130), que é uma folha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digitalizada</w:t>
      </w:r>
      <w:r>
        <w:rPr>
          <w:rFonts w:ascii="Arial" w:cs="Arial" w:eastAsia="Arial" w:hAnsi="Arial"/>
          <w:sz w:val="24"/>
          <w:szCs w:val="24"/>
        </w:rPr>
        <w:t xml:space="preserve"> contendo tão somente as cláusulas gerais (itens 1 a 19),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sem qualquer dado do negócio</w:t>
      </w:r>
      <w:r>
        <w:rPr>
          <w:rFonts w:ascii="Arial" w:cs="Arial" w:eastAsia="Arial" w:hAnsi="Arial"/>
          <w:sz w:val="24"/>
          <w:szCs w:val="24"/>
        </w:rPr>
        <w:t xml:space="preserve">: nenhum valor, nenhum número de parcelas, nenhuma taxa.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Ou seja: a folha em que consta a assinatura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identifica o negócio</w:t>
      </w:r>
      <w:r>
        <w:rPr>
          <w:rFonts w:ascii="Arial" w:cs="Arial" w:eastAsia="Arial" w:hAnsi="Arial"/>
          <w:sz w:val="24"/>
          <w:szCs w:val="24"/>
        </w:rPr>
        <w:t xml:space="preserve">, e a folha que identifica o negócio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está assinada</w:t>
      </w:r>
      <w:r>
        <w:rPr>
          <w:rFonts w:ascii="Arial" w:cs="Arial" w:eastAsia="Arial" w:hAnsi="Arial"/>
          <w:sz w:val="24"/>
          <w:szCs w:val="24"/>
        </w:rPr>
        <w:t xml:space="preserve">, sendo texto eletrônico que pode ser digitado a qualquer tempo. Nada nos autos demonstra que os dados de fls. 118 e 129 já estivessem lançados quando a autora, em papel, assinou o verso. A sentença, que aceitou um “contrato assinado”, não percebeu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que ali está assinado é uma folha em branco quanto às condições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80" w:before="120"/>
        <w:jc w:val="center"/>
      </w:pPr>
      <w:r>
        <w:drawing>
          <wp:inline distT="0" distB="0" distL="0" distR="0">
            <wp:extent cx="38100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Contrato nº 180957451, frente (Id. 204392371, pág. 118): texto eletrônico com os dados e as condições, datado de 06/12/2019; não há assinatura nesta página.</w:t>
      </w:r>
    </w:p>
    <w:p>
      <w:pPr>
        <w:spacing w:after="80" w:before="120"/>
        <w:jc w:val="center"/>
      </w:pPr>
      <w:r>
        <w:drawing>
          <wp:inline distT="0" distB="0" distL="0" distR="0">
            <wp:extent cx="409575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Contrato nº 185097140, verso (Id. 204392372, pág. 130): folha digitalizada, só com cláusulas gerais, onde consta a assinatura. Nenhum dado do negócio aparece nesta folha.</w:t>
      </w:r>
    </w:p>
    <w:p>
      <w:pPr>
        <w:spacing w:after="80" w:before="120"/>
        <w:jc w:val="center"/>
      </w:pPr>
      <w:r>
        <w:drawing>
          <wp:inline distT="0" distB="0" distL="0" distR="0">
            <wp:extent cx="38100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Contrato nº 185097140, frente (Id. 204392372, pág. 129): dados em texto digital sobre formulário em branco digitalizado, datado de 24/01/2020; sem assinatura.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IV.2.2 — O PREENCHIMENTO POSTERIOR É CONFESSADO PELO PRÓPRIO INSTRUMENTO, MAS NÃO FOI ACOMPANHADO DE PROVA DA CIÊNCIA E DO ACEITE DAS CONDIÇÕES FINAIS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próprio contrato, na cláusula 1, estabelece que o cliente “concordou expressamente, ao assinar este contrato, que este seja preenchido com as condições finais que lhe serão comunicadas por SMS, e-mail ou Whatsapp” (Id. 204392371, pág. 118; Id. 204392372, pág. 129). O recorrido confessa, assim,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assina-se em papel e preenche-se depois</w:t>
      </w:r>
      <w:r>
        <w:rPr>
          <w:rFonts w:ascii="Arial" w:cs="Arial" w:eastAsia="Arial" w:hAnsi="Arial"/>
          <w:sz w:val="24"/>
          <w:szCs w:val="24"/>
        </w:rPr>
        <w:t xml:space="preserve">. Mas a cláusula só ganharia alguma eficácia se o banco provasse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comunicou</w:t>
      </w:r>
      <w:r>
        <w:rPr>
          <w:rFonts w:ascii="Arial" w:cs="Arial" w:eastAsia="Arial" w:hAnsi="Arial"/>
          <w:sz w:val="24"/>
          <w:szCs w:val="24"/>
        </w:rPr>
        <w:t xml:space="preserve"> as condições finais à consumidora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 que esta as aceitou</w:t>
      </w:r>
      <w:r>
        <w:rPr>
          <w:rFonts w:ascii="Arial" w:cs="Arial" w:eastAsia="Arial" w:hAnsi="Arial"/>
          <w:sz w:val="24"/>
          <w:szCs w:val="24"/>
        </w:rPr>
        <w:t xml:space="preserve">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há, em nenhum dos dois contratos, SMS, e-mail ou mensagem de WhatsApp</w:t>
      </w:r>
      <w:r>
        <w:rPr>
          <w:rFonts w:ascii="Arial" w:cs="Arial" w:eastAsia="Arial" w:hAnsi="Arial"/>
          <w:sz w:val="24"/>
          <w:szCs w:val="24"/>
        </w:rPr>
        <w:t xml:space="preserve"> nos autos, nem prova de seu envio ou do número de telefone para o qual teriam sido enviados. A cláusula, portanto, não supre a ausência de consentimento: ela apenas explica como o banco pôde lançar, na frente do contrato, condições que a autora nunca viu.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Em relação de consumo, entregar à consumidora idosa um papel sem as condições essenciais do crédito (valor, parcelas, taxa), para posterior preenchimento unilateral, viola o dever de informação prévia e adequada (art. 6º, III, do CDC) e a boa-fé objetiva (art. 422 do CC). Quem preenche depois assume o ônus de provar que o preenchimento correspondeu à vontade do consumidor.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IV.2.3 — AS CONDIÇÕES DA PROPOSTA ASSINADA DIFEREM DAS COBRADAS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propostas em papel (fls. 120 e 131), únicas folhas com assinatura que trazem valores, divergem dos “contratos” e dos extratos do próprio recorrido: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300"/>
        <w:gridCol w:w="2771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Proposta assinada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“Contrato” (frente, sem assinatura)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Extrato / TED / tela do banco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180957451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Proposta de 27/11/2019 (Id. 204392371, pág. 120): valor solicitado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R$ 1.865,14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parcela R$ 217,10 × 72; IOF R$ 57,54; Nº PE W0006529691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06/12/2019 (pág. 118): valor financiado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R$ 8.139,58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refinanciado R$ 6.185,19; líquido R$ 1.895,88; IOF R$ 58,51; Nº da proposta 00864338737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Extrato (págs. 125-127): financiado R$ 8.139,58; comissão do correspondente R$ 492,93. TED (pág. 128):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R$ 1.895,88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185097140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Proposta de 10/01/2020 (Id. 204392372, pág. 131): valor solicitado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R$ 424,20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parcela R$ 12,00 × 72; IOF R$ 13,24; crédito por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(ordem de pagamento)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24/01/2020 (pág. 129): valor financiado R$ 437,44; líquido R$ 424,20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Tela (pág. 135): pago via 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conta “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 registro encontrado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”</w:t>
            </w:r>
          </w:p>
        </w:tc>
      </w:tr>
    </w:tbl>
    <w:p/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No contrato nº 180957451 a divergência é gritante. A proposta assinada fala em R$ 1.865,14, mas a parcela de R$ 217,10 por 72 meses, à taxa de 2,05% ao mês informada na própria proposta, corresponde a um capital de cerca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R$ 8.133,45</w:t>
      </w:r>
      <w:r>
        <w:rPr>
          <w:rFonts w:ascii="Arial" w:cs="Arial" w:eastAsia="Arial" w:hAnsi="Arial"/>
          <w:sz w:val="24"/>
          <w:szCs w:val="24"/>
        </w:rPr>
        <w:t xml:space="preserve"> (cálculo aritmético simples), aproximadamente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quatro vezes</w:t>
      </w:r>
      <w:r>
        <w:rPr>
          <w:rFonts w:ascii="Arial" w:cs="Arial" w:eastAsia="Arial" w:hAnsi="Arial"/>
          <w:sz w:val="24"/>
          <w:szCs w:val="24"/>
        </w:rPr>
        <w:t xml:space="preserve"> o valor “solicitado”. Ou seja,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proposta que a autora assinou é incompatível com a parcela que lhe foi cobrada</w:t>
      </w:r>
      <w:r>
        <w:rPr>
          <w:rFonts w:ascii="Arial" w:cs="Arial" w:eastAsia="Arial" w:hAnsi="Arial"/>
          <w:sz w:val="24"/>
          <w:szCs w:val="24"/>
        </w:rPr>
        <w:t xml:space="preserve">, e o capital efetivamente financiado, de R$ 8.139,58, só aparece em página sem assinatura. O recorrido afirma, na contestação (Id. 204392370, págs. 102-103), que R$ 6.185,19 desse montante teriam sido usados para quitar o “contrato anterior nº 128738344”,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mas nem esse contrato anterior, nem a proposta de refinanciamento, nem qualquer autorização da autora para quitá-lo estão nos autos</w:t>
      </w:r>
      <w:r>
        <w:rPr>
          <w:rFonts w:ascii="Arial" w:cs="Arial" w:eastAsia="Arial" w:hAnsi="Arial"/>
          <w:sz w:val="24"/>
          <w:szCs w:val="24"/>
        </w:rPr>
        <w:t xml:space="preserve">. Assim,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76,5%</w:t>
      </w:r>
      <w:r>
        <w:rPr>
          <w:rFonts w:ascii="Arial" w:cs="Arial" w:eastAsia="Arial" w:hAnsi="Arial"/>
          <w:sz w:val="24"/>
          <w:szCs w:val="24"/>
        </w:rPr>
        <w:t xml:space="preserve"> do valor financiado (R$ 6.185,19 de R$ 8.081,07) não chegou à autora e se destinou a um débito que o banco não provou existir. O mesmo ocorre com o contrato nº 204125174: R$ 1.565,11 de R$ 1.911,19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81,9%</w:t>
      </w:r>
      <w:r>
        <w:rPr>
          <w:rFonts w:ascii="Arial" w:cs="Arial" w:eastAsia="Arial" w:hAnsi="Arial"/>
          <w:sz w:val="24"/>
          <w:szCs w:val="24"/>
        </w:rPr>
        <w:t xml:space="preserve">) teriam servido para quitar contratos anteriores (nº 862801286-9 e 862802960-8) que também não foram juntados.</w:t>
      </w:r>
    </w:p>
    <w:p>
      <w:pPr>
        <w:spacing w:after="80" w:before="120"/>
        <w:jc w:val="center"/>
      </w:pPr>
      <w:r>
        <w:drawing>
          <wp:inline distT="0" distB="0" distL="0" distR="0">
            <wp:extent cx="3810000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Proposta de 27/11/2019 (Id. 204392371, pág. 120): valor solicitado R$ 1.865,14 e parcela R$ 217,10 × 72. Os dados do contrato (R$ 8.139,58 financiados) constam apenas de página sem assinatura.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IV.2.4 — DADOS CADASTRAIS QUE NÃO SÃO DA AUTORA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frente dos contratos qualifica a cliente como “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SOLTEIRO</w:t>
      </w:r>
      <w:r>
        <w:rPr>
          <w:rFonts w:ascii="Arial" w:cs="Arial" w:eastAsia="Arial" w:hAnsi="Arial"/>
          <w:sz w:val="24"/>
          <w:szCs w:val="24"/>
        </w:rPr>
        <w:t xml:space="preserve">” (a recorrente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viúva</w:t>
      </w:r>
      <w:r>
        <w:rPr>
          <w:rFonts w:ascii="Arial" w:cs="Arial" w:eastAsia="Arial" w:hAnsi="Arial"/>
          <w:sz w:val="24"/>
          <w:szCs w:val="24"/>
        </w:rPr>
        <w:t xml:space="preserve">, como consta da inicial e de sua pensão por morte) e informa endereço “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RUA 32 QUADRA E 13 CASA</w:t>
      </w:r>
      <w:r>
        <w:rPr>
          <w:rFonts w:ascii="Arial" w:cs="Arial" w:eastAsia="Arial" w:hAnsi="Arial"/>
          <w:sz w:val="24"/>
          <w:szCs w:val="24"/>
        </w:rPr>
        <w:t xml:space="preserve">” (pág. 118) e “RUA 32 QUADRA E 32 CASA” (pág. 129), com CEP 41342-050, endereço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é o da fatura que o próprio banco anexou ao mesmo contrato</w:t>
      </w:r>
      <w:r>
        <w:rPr>
          <w:rFonts w:ascii="Arial" w:cs="Arial" w:eastAsia="Arial" w:hAnsi="Arial"/>
          <w:sz w:val="24"/>
          <w:szCs w:val="24"/>
        </w:rPr>
        <w:t xml:space="preserve"> (“Rua Eng. Eunápio Peltier de Queiroz, 13”, Id. 204392371, pág. 123) nem o do contrato nº 204125174 (Rua Engenheiro Eunápio Peltier de Queiroz, nº 13, Fazenda Grande II, CEP 41342-035), e que as duas “frentes” registram de modo diferente entre si (nº 13 e nº 32). Os dois documentos trazem ainda o e-mail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GIDIA.PREMIUM@HOTMAIL.COM</w:t>
      </w:r>
      <w:r>
        <w:rPr>
          <w:rFonts w:ascii="Arial" w:cs="Arial" w:eastAsia="Arial" w:hAnsi="Arial"/>
          <w:sz w:val="24"/>
          <w:szCs w:val="24"/>
        </w:rPr>
        <w:t xml:space="preserve"> (a recorrente declarou, na inicial, que não possui endereço eletrônico) e telefones cuja titularidade o recorrido não provou. Note-se que a atendente que lançou o contrato nº 180957451 chama-se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GIDIA</w:t>
      </w:r>
      <w:r>
        <w:rPr>
          <w:rFonts w:ascii="Arial" w:cs="Arial" w:eastAsia="Arial" w:hAnsi="Arial"/>
          <w:sz w:val="24"/>
          <w:szCs w:val="24"/>
        </w:rPr>
        <w:t xml:space="preserve"> CARLA ALVES DA SILVA (pág. 118), nome que coincide com o do e-mail cadastrado, indício de que o cadastro foi preenchido por quem operou a venda, e não pela cliente. Esse mesmo e-mail reaparece, com pequena variação (GIDIA.PREMUM@HOTMAIL.COM), no contrato nº 185097140, lançado dois meses depois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outro correspondente e outra atendente</w:t>
      </w:r>
      <w:r>
        <w:rPr>
          <w:rFonts w:ascii="Arial" w:cs="Arial" w:eastAsia="Arial" w:hAnsi="Arial"/>
          <w:sz w:val="24"/>
          <w:szCs w:val="24"/>
        </w:rPr>
        <w:t xml:space="preserve"> (KONSI BA — CANDIDA MARIA G DE SOUSA, pág. 129), o que mostra um dado cadastral reaproveitado que não pertence à autora. A venda foi intermediada por correspondentes (PROSPECTA AL e KONSI BA), que recebem comissão (R$ 492,93 só no contrato nº 180957451, pág. 125), o que reforça o risco de preenchimento irregular. A sentença desconsiderou todas essas divergências, que o recorrido não esclareceu.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IV.2.5 — OS DOCUMENTOS DE APOIO E AS “FOTOS” SÃO POSTERIORES À ASSINATURA E NADA PROVAM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recorrido instrui o contrato nº 180957451 com documentos de apoio (comprovante de CPF, fatura de energia e fotografia do RG). Esses documentos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são posteriores à data da proposta</w:t>
      </w:r>
      <w:r>
        <w:rPr>
          <w:rFonts w:ascii="Arial" w:cs="Arial" w:eastAsia="Arial" w:hAnsi="Arial"/>
          <w:sz w:val="24"/>
          <w:szCs w:val="24"/>
        </w:rPr>
        <w:t xml:space="preserve"> (27/11/2019): o Comprovante de Situação Cadastral no CPF foi emitido às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12h30min12s de 28/11/2019</w:t>
      </w:r>
      <w:r>
        <w:rPr>
          <w:rFonts w:ascii="Arial" w:cs="Arial" w:eastAsia="Arial" w:hAnsi="Arial"/>
          <w:sz w:val="24"/>
          <w:szCs w:val="24"/>
        </w:rPr>
        <w:t xml:space="preserve"> (Id. 204392371, pág. 122) e a 2ª via da fatura é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28/11/2019</w:t>
      </w:r>
      <w:r>
        <w:rPr>
          <w:rFonts w:ascii="Arial" w:cs="Arial" w:eastAsia="Arial" w:hAnsi="Arial"/>
          <w:sz w:val="24"/>
          <w:szCs w:val="24"/>
        </w:rPr>
        <w:t xml:space="preserve"> (pág. 123). Ou seja, foram obtidos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 dia seguinte</w:t>
      </w:r>
      <w:r>
        <w:rPr>
          <w:rFonts w:ascii="Arial" w:cs="Arial" w:eastAsia="Arial" w:hAnsi="Arial"/>
          <w:sz w:val="24"/>
          <w:szCs w:val="24"/>
        </w:rPr>
        <w:t xml:space="preserve"> ao da suposta assinatura, em momento distinto e sem demonstração de quem os apresentou. A “foto” do RG (pág. 124) é uma fotografia informal do documento, sobre uma superfície de madeira, sem data, sem autoria e sem registro de captura.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Tais documentos são irrelevantes para provar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consentimento</w:t>
      </w:r>
      <w:r>
        <w:rPr>
          <w:rFonts w:ascii="Arial" w:cs="Arial" w:eastAsia="Arial" w:hAnsi="Arial"/>
          <w:sz w:val="24"/>
          <w:szCs w:val="24"/>
        </w:rPr>
        <w:t xml:space="preserve">. Contrato assinado em papel prova-se pela assinatura e pelo conteúdo do instrumento, não por fotografia de documento que qualquer pessoa de posse de uma cópia do RG, como o correspondente que lançou a operação, poderia produzir.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há selfie, biometria facial, relatório de liveness, IP, geolocalização nem log</w:t>
      </w:r>
      <w:r>
        <w:rPr>
          <w:rFonts w:ascii="Arial" w:cs="Arial" w:eastAsia="Arial" w:hAnsi="Arial"/>
          <w:sz w:val="24"/>
          <w:szCs w:val="24"/>
        </w:rPr>
        <w:t xml:space="preserve"> nos autos, para nenhum dos dois contratos em papel (Súmula 479/STJ; art. 14 do CDC). A conferência de que o RG anexado coincide com o RG da autora, na linha do que alegou a contestação, prova apenas que o banco tinha cópia do documento, e não que foi ela quem contratou.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Comprovante de CPF anexado ao contrato nº 180957451 (Id. 204392371, pág. 122): emitido às 12:30:12 de 28/11/2019, um dia depois da proposta (27/11/2019).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“Foto” do RG (Id. 204392371, pág. 124): fotografia informal do documento sobre superfície de madeira, sem data nem autoria.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IV.3 — DO CRÉDITO NÃO PROVADO: A SENTENÇA PRESUMIU A TITULARIDADE DA CONTA CONTRA A CONSUMIDORA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afirma que o banco juntou “o comprovante de transferência destinada a conta corrente de titularidade da parte demandante” (Id. 207003520, pág. 205).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Nenhum documento dos autos prova que a conta de destino seja da recorrente.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Contrato nº 180957451:</w:t>
      </w:r>
      <w:r>
        <w:rPr>
          <w:rFonts w:ascii="Arial" w:cs="Arial" w:eastAsia="Arial" w:hAnsi="Arial"/>
          <w:sz w:val="24"/>
          <w:szCs w:val="24"/>
        </w:rPr>
        <w:t xml:space="preserve"> o TED de R$ 1.895,88, de 06/12/2019, foi para a Caixa Econômica Federal, agência 4096, conta nº 64622 (Id. 204392371, pág. 128). O TED traz o CPF e o nome do favorecido, mas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prova que a conta pertença à autora</w:t>
      </w:r>
      <w:r>
        <w:rPr>
          <w:rFonts w:ascii="Arial" w:cs="Arial" w:eastAsia="Arial" w:hAnsi="Arial"/>
          <w:sz w:val="24"/>
          <w:szCs w:val="24"/>
        </w:rPr>
        <w:t xml:space="preserve">. O próprio recorrido reconhece isso: na contestação requereu “a expedição de ofício à Caixa Econômica Federal (104), agência 4096, para que informe sobre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titularidade da conta de nº 64622</w:t>
      </w:r>
      <w:r>
        <w:rPr>
          <w:rFonts w:ascii="Arial" w:cs="Arial" w:eastAsia="Arial" w:hAnsi="Arial"/>
          <w:sz w:val="24"/>
          <w:szCs w:val="24"/>
        </w:rPr>
        <w:t xml:space="preserve">” (Id. 204392370, págs. 104 e 110) e repetiu o pedido na audiência (Id. 204602216, págs. 202-203).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banco admitiu, portanto, que não provou a titularidade e a sentença presumiu o fato contra a consumidora</w:t>
      </w:r>
      <w:r>
        <w:rPr>
          <w:rFonts w:ascii="Arial" w:cs="Arial" w:eastAsia="Arial" w:hAnsi="Arial"/>
          <w:sz w:val="24"/>
          <w:szCs w:val="24"/>
        </w:rPr>
        <w:t xml:space="preserve">, sem sequer deferir o ofício que a ré pediu. Além disso, o demonstrativo do INSS que o próprio banco juntou (Id. 204392373, pág. 141) indica como instituição pagadora dos benefícios da autora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Bradesco</w:t>
      </w:r>
      <w:r>
        <w:rPr>
          <w:rFonts w:ascii="Arial" w:cs="Arial" w:eastAsia="Arial" w:hAnsi="Arial"/>
          <w:sz w:val="24"/>
          <w:szCs w:val="24"/>
        </w:rPr>
        <w:t xml:space="preserve"> (237, ag. 3046), e não a Caixa; hoje o INSS paga no Banco Mercantil (Doc. 01). O mesmo número de conta aparece como conta corrente no TED de 2019 (“Tipo Conta: CC”) e como poupança (“Tipo Conta: PP”, nº 13000064622) no TED de 2020 (pág. 148), sem esclarecimento.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Contrato nº 185097140:</w:t>
      </w:r>
      <w:r>
        <w:rPr>
          <w:rFonts w:ascii="Arial" w:cs="Arial" w:eastAsia="Arial" w:hAnsi="Arial"/>
          <w:sz w:val="24"/>
          <w:szCs w:val="24"/>
        </w:rPr>
        <w:t xml:space="preserve"> o crédito de R$ 424,20 teria sido pago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por ordem de pagamento (OP)</w:t>
      </w:r>
      <w:r>
        <w:rPr>
          <w:rFonts w:ascii="Arial" w:cs="Arial" w:eastAsia="Arial" w:hAnsi="Arial"/>
          <w:sz w:val="24"/>
          <w:szCs w:val="24"/>
        </w:rPr>
        <w:t xml:space="preserve">, e não depositado em conta. A tela do próprio banco registra “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CONTA: Nenhum registro encontrado</w:t>
      </w:r>
      <w:r>
        <w:rPr>
          <w:rFonts w:ascii="Arial" w:cs="Arial" w:eastAsia="Arial" w:hAnsi="Arial"/>
          <w:sz w:val="24"/>
          <w:szCs w:val="24"/>
        </w:rPr>
        <w:t xml:space="preserve">” e “NÃO HOUVE DEVOLUÇÃO” (Id. 204392372, pág. 135). Ordem de pagamento é retirada no guichê,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nada prova quem a sacou</w:t>
      </w:r>
      <w:r>
        <w:rPr>
          <w:rFonts w:ascii="Arial" w:cs="Arial" w:eastAsia="Arial" w:hAnsi="Arial"/>
          <w:sz w:val="24"/>
          <w:szCs w:val="24"/>
        </w:rPr>
        <w:t xml:space="preserve">. O banco também requereu ofício à CEF (agência 3617) “para que disponibilize o comprovante de recebimento da ordem de pagamento” (Id. 204392370, pág. 105; ata, Id. 204602216), o que confirma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tem esse comprovante</w:t>
      </w:r>
      <w:r>
        <w:rPr>
          <w:rFonts w:ascii="Arial" w:cs="Arial" w:eastAsia="Arial" w:hAnsi="Arial"/>
          <w:sz w:val="24"/>
          <w:szCs w:val="24"/>
        </w:rPr>
        <w:t xml:space="preserve">. A afirmação da contestação de que “somente a parte autora poderia receber o valor” é mera alegação.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Cabe ao recorrido provar que o crédito chegou à esfera de disponibilidade da consumidora (art. 373, II, do CPC; art. 6º, VIII, do CDC), prova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estava ao seu alcance</w:t>
      </w:r>
      <w:r>
        <w:rPr>
          <w:rFonts w:ascii="Arial" w:cs="Arial" w:eastAsia="Arial" w:hAnsi="Arial"/>
          <w:sz w:val="24"/>
          <w:szCs w:val="24"/>
        </w:rPr>
        <w:t xml:space="preserve"> e que ele mesmo reconheceu não ter feito. A sentença, ao suprir essa lacuna com uma presunção contra a consumidora, inverteu o ônus da prova e violou o art. 373, II, do CPC. Quanto ao argumento de que a recorrente “não estornou o valor”, a autora não sabia que os recursos existiam, e o recorrido, como visto, não provou que ela os recebeu.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Também não procede o argumento do recorrido de que seria “estranho” um estelionatário fraudar um empréstimo cujo valor vai para conta da vítima: a titularidade dessa conta é exatamente o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foi provado</w:t>
      </w:r>
      <w:r>
        <w:rPr>
          <w:rFonts w:ascii="Arial" w:cs="Arial" w:eastAsia="Arial" w:hAnsi="Arial"/>
          <w:sz w:val="24"/>
          <w:szCs w:val="24"/>
        </w:rPr>
        <w:t xml:space="preserve">, e a atuação de correspondentes comissionados na ponta da venda (R$ 492,93 de comissão só no contrato nº 180957451) mostra que o proveito pode estar com quem opera a venda.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IV.4 — DO CONTRATO Nº 204125174 (DIGITAL) E DA CESSÃO SEM TÍTULO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ao único contrato que o recorrido afirma ser digital (CCB nº f3048fa3-caa3-4f69-9216-9970c763a71e, de 23/07/2020, Id. 204392373, pág. 136), a impugnação específica, ancorada nos documentos juntados pela própria ré, é a seguinte: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Ausência de qualquer prova de autoria da contratação eletrônica.</w:t>
      </w:r>
      <w:r>
        <w:rPr>
          <w:rFonts w:ascii="Arial" w:cs="Arial" w:eastAsia="Arial" w:hAnsi="Arial"/>
          <w:sz w:val="24"/>
          <w:szCs w:val="24"/>
        </w:rPr>
        <w:t xml:space="preserve"> A contestação sustenta que a contratação exige “foto do documento de identidade” e “foto do rosto”, SMS e resposta “SIM” (Id. 204392370, págs. 107-109). Mas os autos não contêm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nenhuma foto do rosto, nem relatório de biometria ou de prova de vida, nem log de SMS, nem IP, nem geolocalização, nem dispositivo</w:t>
      </w:r>
      <w:r>
        <w:rPr>
          <w:rFonts w:ascii="Arial" w:cs="Arial" w:eastAsia="Arial" w:hAnsi="Arial"/>
          <w:sz w:val="24"/>
          <w:szCs w:val="24"/>
        </w:rPr>
        <w:t xml:space="preserve">. O que há é uma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cópia do RG</w:t>
      </w:r>
      <w:r>
        <w:rPr>
          <w:rFonts w:ascii="Arial" w:cs="Arial" w:eastAsia="Arial" w:hAnsi="Arial"/>
          <w:sz w:val="24"/>
          <w:szCs w:val="24"/>
        </w:rPr>
        <w:t xml:space="preserve"> (Id. 204392373, págs. 142-143), que, como visto, não prova autoria. Selfie isolada, ou mera cópia de documento, não é biometria nem comprova consentimento; e aqui nem selfie existe.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Divergência de valores no próprio documento do banco.</w:t>
      </w:r>
      <w:r>
        <w:rPr>
          <w:rFonts w:ascii="Arial" w:cs="Arial" w:eastAsia="Arial" w:hAnsi="Arial"/>
          <w:sz w:val="24"/>
          <w:szCs w:val="24"/>
        </w:rPr>
        <w:t xml:space="preserve"> O “Resumo do Contrato” informa valor liberado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R$ 346,08</w:t>
      </w:r>
      <w:r>
        <w:rPr>
          <w:rFonts w:ascii="Arial" w:cs="Arial" w:eastAsia="Arial" w:hAnsi="Arial"/>
          <w:sz w:val="24"/>
          <w:szCs w:val="24"/>
        </w:rPr>
        <w:t xml:space="preserve"> (Id. 204392373, pág. 139), a contestação afirma que foi disponibilizado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R$ 355,69</w:t>
      </w:r>
      <w:r>
        <w:rPr>
          <w:rFonts w:ascii="Arial" w:cs="Arial" w:eastAsia="Arial" w:hAnsi="Arial"/>
          <w:sz w:val="24"/>
          <w:szCs w:val="24"/>
        </w:rPr>
        <w:t xml:space="preserve"> (Id. 204392370, pág. 106) e o TED registra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R$ 355,69</w:t>
      </w:r>
      <w:r>
        <w:rPr>
          <w:rFonts w:ascii="Arial" w:cs="Arial" w:eastAsia="Arial" w:hAnsi="Arial"/>
          <w:sz w:val="24"/>
          <w:szCs w:val="24"/>
        </w:rPr>
        <w:t xml:space="preserve"> (pág. 148). A diferença de R$ 9,61 não foi explicada.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E-mail e celular que não são da autora.</w:t>
      </w:r>
      <w:r>
        <w:rPr>
          <w:rFonts w:ascii="Arial" w:cs="Arial" w:eastAsia="Arial" w:hAnsi="Arial"/>
          <w:sz w:val="24"/>
          <w:szCs w:val="24"/>
        </w:rPr>
        <w:t xml:space="preserve"> O Resumo traz o e-mail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admandreia12@hotmail.com</w:t>
      </w:r>
      <w:r>
        <w:rPr>
          <w:rFonts w:ascii="Arial" w:cs="Arial" w:eastAsia="Arial" w:hAnsi="Arial"/>
          <w:sz w:val="24"/>
          <w:szCs w:val="24"/>
        </w:rPr>
        <w:t xml:space="preserve">, que a autora não possui e que não foi atribuído a ela por nenhum documento; e o celular (71) 99414-6449, cuja titularidade o banco não demonstra. Se o código de confirmação foi enviado a e-mail ou celular de terceiro, a “assinatura” por token não prova nada.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d)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Refinanciamento de contratos anteriores não provado.</w:t>
      </w:r>
      <w:r>
        <w:rPr>
          <w:rFonts w:ascii="Arial" w:cs="Arial" w:eastAsia="Arial" w:hAnsi="Arial"/>
          <w:sz w:val="24"/>
          <w:szCs w:val="24"/>
        </w:rPr>
        <w:t xml:space="preserve"> R$ 1.565,11 do valor (81,9%) teriam sido usados para quitar os contratos nº 862801286-9 e 862802960-8, que não estão nos autos.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aos três contratos, o recorrido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é o emissor</w:t>
      </w:r>
      <w:r>
        <w:rPr>
          <w:rFonts w:ascii="Arial" w:cs="Arial" w:eastAsia="Arial" w:hAnsi="Arial"/>
          <w:sz w:val="24"/>
          <w:szCs w:val="24"/>
        </w:rPr>
        <w:t xml:space="preserve">. Os instrumentos foram emitidos pelo Banco Olé Consignado S/A (CNPJ 71.371.686/0001-75) e “migrados” para o Santander em 28/06/2021, conforme o extrato do INSS (Id. 202432176), sem que o recorrido tenha juntado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instrumento de cessão</w:t>
      </w:r>
      <w:r>
        <w:rPr>
          <w:rFonts w:ascii="Arial" w:cs="Arial" w:eastAsia="Arial" w:hAnsi="Arial"/>
          <w:sz w:val="24"/>
          <w:szCs w:val="24"/>
        </w:rPr>
        <w:t xml:space="preserve"> nem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notificação à devedora</w:t>
      </w:r>
      <w:r>
        <w:rPr>
          <w:rFonts w:ascii="Arial" w:cs="Arial" w:eastAsia="Arial" w:hAnsi="Arial"/>
          <w:sz w:val="24"/>
          <w:szCs w:val="24"/>
        </w:rPr>
        <w:t xml:space="preserve"> (art. 290 do CC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), o que foi arguido na impugnação (Id. 204527891, págs. 189-192)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enfrentado pela sentença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IV.5 — DA OMISSÃO DA SENTENÇA E DA SÚMULA Nº 10 DA TU/BA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enfrentou</w:t>
      </w:r>
      <w:r>
        <w:rPr>
          <w:rFonts w:ascii="Arial" w:cs="Arial" w:eastAsia="Arial" w:hAnsi="Arial"/>
          <w:sz w:val="24"/>
          <w:szCs w:val="24"/>
        </w:rPr>
        <w:t xml:space="preserve"> nenhum dos argumentos da impugnação à contestação: a cessão sem título e sem notificação, as divergências de valores, o e-mail de terceiro, a ausência de conta destinatária no contrato nº 185097140, a contradição entre a preliminar de perícia grafotécnica (que pressupõe assinatura manuscrita) e a tese de contratação “100% digital”. Limitou-se a afirmar que há “indícios suficientes nos autos da relação entabulada”. Deixar de enfrentar fundamentos relevantes que, em tese, infirmariam a conclusão adotada é vício de fundamentação (art. 489, § 1º, IV, do CPC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).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à Súmula nº 10 da TU/BA, invocada pela sentença, ela dispõe que “a comprovação da existência de relação jurídica no âmbito consumerista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prescinde da exibição de instrumento contratual</w:t>
      </w:r>
      <w:r>
        <w:rPr>
          <w:rFonts w:ascii="Arial" w:cs="Arial" w:eastAsia="Arial" w:hAnsi="Arial"/>
          <w:sz w:val="24"/>
          <w:szCs w:val="24"/>
        </w:rPr>
        <w:t xml:space="preserve">, podendo se dar por qualquer meio de prova”. A súmula apenas dispensa a exibição do instrumento: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dispensa a prova da relação</w:t>
      </w:r>
      <w:r>
        <w:rPr>
          <w:rFonts w:ascii="Arial" w:cs="Arial" w:eastAsia="Arial" w:hAnsi="Arial"/>
          <w:sz w:val="24"/>
          <w:szCs w:val="24"/>
        </w:rPr>
        <w:t xml:space="preserve">, nem autoriza presumir o consentimento contra o consumidor. Aqui o recorrido exibiu instrumentos, e é precisamente a análise deles que mostra que não provam o que dizem. Os precedentes transcritos na sentença (TJBA, RI 0001082-68.2021.8.05.0211, e TJ-RS, Recurso Cível 71001799089) tratam de contratos com assinatura coincidente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depósito comprovado em conta do autor</w:t>
      </w:r>
      <w:r>
        <w:rPr>
          <w:rFonts w:ascii="Arial" w:cs="Arial" w:eastAsia="Arial" w:hAnsi="Arial"/>
          <w:sz w:val="24"/>
          <w:szCs w:val="24"/>
        </w:rPr>
        <w:t xml:space="preserve">, o que não ocorre nos autos: a frente do contrato não é assinada e a titularidade da conta não foi provada.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registra ainda que “em sede de instrução, foram tomados os depoimentos pessoais das partes”, mas o único termo de audiência dos autos (Id. 204602216) registra tentativa de conciliação e pedido de julgamento antecipado.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NO VÍDEO DA AUDIÊNCIA ANTES DE MANTER ESTE PARÁGRAFO]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ao ônus da prova, a relação é de consumo e a recorrente é idosa, aposentada e hipossuficiente técnica. Os documentos, as tabelas de sistema e o fluxo de contratação estão em poder do recorrido, a quem cabia prová-los (art. 6º, VIII, do CDC; art. 373, II, do CPC), e a regularidade de contratações e a quitação de contratos anteriores é fato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banco</w:t>
      </w:r>
      <w:r>
        <w:rPr>
          <w:rFonts w:ascii="Arial" w:cs="Arial" w:eastAsia="Arial" w:hAnsi="Arial"/>
          <w:sz w:val="24"/>
          <w:szCs w:val="24"/>
        </w:rPr>
        <w:t xml:space="preserve"> deveria provar. Responde o recorrido objetivamente pela falha na contratação por seus correspondentes (art. 14 do CDC; Súmula 479/STJ).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IV.6 — DA REPETIÇÃO EM DOBRO E DA COMPENSAÇÃO SUBSIDIÁRIA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Declarada a inexistência dos contratos, devem ser restituídos em dobro os valores descontados do benefício da autora (art. 42, parágrafo único, do CDC), no total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R$ 13.812,80</w:t>
      </w:r>
      <w:r>
        <w:rPr>
          <w:rFonts w:ascii="Arial" w:cs="Arial" w:eastAsia="Arial" w:hAnsi="Arial"/>
          <w:sz w:val="24"/>
          <w:szCs w:val="24"/>
        </w:rPr>
        <w:t xml:space="preserve"> (dobro de R$ 6.906,40: R$ 1.700,40 do contrato nº 204125174, R$ 4.342,00 do contrato nº 180957451 e R$ 864,00 do contrato nº 185097140), valor da inicial, com correção monetária desde cada desconto (Súmula 43/STJ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) e juros de mora desde o evento danoso (Súmula 54/STJ). Segundo o EAREsp 600.663/RS </w:t>
      </w: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[VERIFICAR ANTES DE PROTOCOLAR]</w:t>
      </w:r>
      <w:r>
        <w:rPr>
          <w:rFonts w:ascii="Arial" w:cs="Arial" w:eastAsia="Arial" w:hAnsi="Arial"/>
          <w:sz w:val="24"/>
          <w:szCs w:val="24"/>
        </w:rPr>
        <w:t xml:space="preserve">, a repetição em dobro exige apenas cobrança indevida e conduta contrária à boa-fé objetiva, sem necessidade de má-fé subjetiva; e descontar durante anos, de benefício alimentar, parcelas de contrato sem comprovação de consentimento é conduta objetivamente contrária à boa-fé (art. 422 do CC).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Subsidiariamente, e apenas por cautela, caso esta Turma entenda comprovado, para algum dos contratos, que valor determinado tenha efetivamente ingressado na esfera de disponibilidade da autora, requer-se que a compensação fique limitada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exclusivamente ao valor comprovadamente recebido</w:t>
      </w:r>
      <w:r>
        <w:rPr>
          <w:rFonts w:ascii="Arial" w:cs="Arial" w:eastAsia="Arial" w:hAnsi="Arial"/>
          <w:sz w:val="24"/>
          <w:szCs w:val="24"/>
        </w:rPr>
        <w:t xml:space="preserve">, e não aos valores “refinanciados” ou aplicados em quitação de contratos anteriores não provados, nos quais a autora não teve nenhum proveito.</w:t>
      </w:r>
    </w:p>
    <w:p>
      <w:pPr>
        <w:keepNext/>
        <w:spacing w:after="160" w:before="240" w:line="36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IV.7 — DO DANO MORAL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sentença negou o dano moral porque entendeu “regular” a contratação. Afastada essa premissa, como demonstrado acima, o dano está caracterizado: não se trata de mero inadimplemento de contrato válido, mas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descontos reiterados, durante anos, sobre dois benefícios previdenciários de natureza alimentar de pessoa idosa</w:t>
      </w:r>
      <w:r>
        <w:rPr>
          <w:rFonts w:ascii="Arial" w:cs="Arial" w:eastAsia="Arial" w:hAnsi="Arial"/>
          <w:sz w:val="24"/>
          <w:szCs w:val="24"/>
        </w:rPr>
        <w:t xml:space="preserve">, por contratos cuja existência o banco não comprovou (Súmula 479/STJ; art. 14 do CDC). O dano decorre da própria violação (*in re ipsa*): a idosa teve parcela relevante de sua renda de subsistência subtraída por anos,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R$ 6.906,40 descontados</w:t>
      </w:r>
      <w:r>
        <w:rPr>
          <w:rFonts w:ascii="Arial" w:cs="Arial" w:eastAsia="Arial" w:hAnsi="Arial"/>
          <w:sz w:val="24"/>
          <w:szCs w:val="24"/>
        </w:rPr>
        <w:t xml:space="preserve"> nos três contratos, sendo que os extratos do banco mostram descontos mensais desde 01/2020 (Id. 204392371, págs. 125-127), e hoje 42,6% de sua renda continua comprometida com consignações (Doc. 01). Houve ainda tratamento de dados pessoais (CPF, NB, renda, documento) sem consentimento específico e informado, o que viola os arts. 6º, 7º, I, 42 e 46 da LGPD e os direitos da personalidade (art. 5º, X, da CF). A tutela de urgência concedida em 20/08/2026 (Id. 203967696), diante da plausibilidade do direito e do perigo de dano pela redução dos proventos, confirma a gravidade da situação.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Confronto com os precedentes de “mero aborrecimento”.</w:t>
      </w:r>
      <w:r>
        <w:rPr>
          <w:rFonts w:ascii="Arial" w:cs="Arial" w:eastAsia="Arial" w:hAnsi="Arial"/>
          <w:sz w:val="24"/>
          <w:szCs w:val="24"/>
        </w:rPr>
        <w:t xml:space="preserve"> Se invocados pelo recorrido, tratam de inadimplemento contratual ou de cobrança em relação existente; aqui a relação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foi provada</w:t>
      </w:r>
      <w:r>
        <w:rPr>
          <w:rFonts w:ascii="Arial" w:cs="Arial" w:eastAsia="Arial" w:hAnsi="Arial"/>
          <w:sz w:val="24"/>
          <w:szCs w:val="24"/>
        </w:rPr>
        <w:t xml:space="preserve">. A fraude na origem e o desconto sobre verba alimentar de idosa não se confundem com o dissabor cotidiano. Havendo divergência entre Turmas desta Corte sobre o dano moral in re ipsa em descontos indevidos sobre benefício previdenciário de idoso, registra-se desde já a pretensão de uniformização.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Quantum.</w:t>
      </w:r>
      <w:r>
        <w:rPr>
          <w:rFonts w:ascii="Arial" w:cs="Arial" w:eastAsia="Arial" w:hAnsi="Arial"/>
          <w:sz w:val="24"/>
          <w:szCs w:val="24"/>
        </w:rPr>
        <w:t xml:space="preserve"> Mantém-se o valor pleiteado na inicial: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R$ 40.000,00</w:t>
      </w:r>
      <w:r>
        <w:rPr>
          <w:rFonts w:ascii="Arial" w:cs="Arial" w:eastAsia="Arial" w:hAnsi="Arial"/>
          <w:sz w:val="24"/>
          <w:szCs w:val="24"/>
        </w:rPr>
        <w:t xml:space="preserve">, razoável e proporcional à gravidade (três contratos, mais de seis anos de descontos, idosa, verba alimentar) e ao caráter pedagógico necessário. Juros de mora desde o evento danoso (Súmula 54/STJ) e correção monetária desde o arbitramento (Súmula 362/STJ), observado, para o período posterior a 30/08/2024, o art. 406 do Código Civil, na redação da Lei nº 14.905/2024.</w:t>
      </w:r>
    </w:p>
    <w:p>
      <w:pPr>
        <w:keepNext/>
        <w:pBdr>
          <w:bottom w:val="single" w:color="1F3864" w:sz="8" w:space="4"/>
        </w:pBdr>
        <w:spacing w:after="200" w:before="360" w:lin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 — DO PREQUESTIONAMENTO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Para fins de eventual Recurso Extraordinário (art. 102, III, da CF) e de pedido de uniformização de jurisprudência, ficam prequestionados os seguintes dispositivos, cuja violação ou negativa de vigência se aponta: arts. 5º, X, XXXV e LXXIV, da CF; arts. 6º, III e VIII, 14 e 42, parágrafo único, do CDC; Súmula 479/STJ; arts. 104, 422 e 290 do Código Civil; arts. 6º, 7º, I, 42 e 46 da Lei nº 13.709/2018 (LGPD); arts. 373, II, 489, § 1º, IV, e 1.013, §§ 1º e 2º, do CPC; e arts. 41 e 42 da Lei nº 9.099/95.</w:t>
      </w:r>
    </w:p>
    <w:p>
      <w:pPr>
        <w:keepNext/>
        <w:pBdr>
          <w:bottom w:val="single" w:color="1F3864" w:sz="8" w:space="4"/>
        </w:pBdr>
        <w:spacing w:after="200" w:before="360" w:line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 — DOS PEDIDOS</w:t>
      </w:r>
    </w:p>
    <w:p>
      <w:pPr>
        <w:spacing w:after="12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Ante o exposto, requer-se: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a)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conhecimento e o provimento</w:t>
      </w:r>
      <w:r>
        <w:rPr>
          <w:rFonts w:ascii="Arial" w:cs="Arial" w:eastAsia="Arial" w:hAnsi="Arial"/>
          <w:sz w:val="24"/>
          <w:szCs w:val="24"/>
        </w:rPr>
        <w:t xml:space="preserve"> do recurso inominado,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tramitação prioritária</w:t>
      </w:r>
      <w:r>
        <w:rPr>
          <w:rFonts w:ascii="Arial" w:cs="Arial" w:eastAsia="Arial" w:hAnsi="Arial"/>
          <w:sz w:val="24"/>
          <w:szCs w:val="24"/>
        </w:rPr>
        <w:t xml:space="preserve"> (idosa);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b)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deferimento da gratuidade da justiça</w:t>
      </w:r>
      <w:r>
        <w:rPr>
          <w:rFonts w:ascii="Arial" w:cs="Arial" w:eastAsia="Arial" w:hAnsi="Arial"/>
          <w:sz w:val="24"/>
          <w:szCs w:val="24"/>
        </w:rPr>
        <w:t xml:space="preserve">, com dispensa de preparo, nos termos da Seção II e do Doc. 01 (ou, subsidiariamente, prazo para recolhimento, se indeferida);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c)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reforma integral da sentença</w:t>
      </w:r>
      <w:r>
        <w:rPr>
          <w:rFonts w:ascii="Arial" w:cs="Arial" w:eastAsia="Arial" w:hAnsi="Arial"/>
          <w:sz w:val="24"/>
          <w:szCs w:val="24"/>
        </w:rPr>
        <w:t xml:space="preserve">, para julgar procedentes os pedidos iniciais e declarar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inexistência de relação jurídica</w:t>
      </w:r>
      <w:r>
        <w:rPr>
          <w:rFonts w:ascii="Arial" w:cs="Arial" w:eastAsia="Arial" w:hAnsi="Arial"/>
          <w:sz w:val="24"/>
          <w:szCs w:val="24"/>
        </w:rPr>
        <w:t xml:space="preserve"> relativamente aos contratos nº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180957451</w:t>
      </w:r>
      <w:r>
        <w:rPr>
          <w:rFonts w:ascii="Arial" w:cs="Arial" w:eastAsia="Arial" w:hAnsi="Arial"/>
          <w:sz w:val="24"/>
          <w:szCs w:val="24"/>
        </w:rPr>
        <w:t xml:space="preserve">, nº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185097140</w:t>
      </w:r>
      <w:r>
        <w:rPr>
          <w:rFonts w:ascii="Arial" w:cs="Arial" w:eastAsia="Arial" w:hAnsi="Arial"/>
          <w:sz w:val="24"/>
          <w:szCs w:val="24"/>
        </w:rPr>
        <w:t xml:space="preserve"> e nº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204125174</w:t>
      </w:r>
      <w:r>
        <w:rPr>
          <w:rFonts w:ascii="Arial" w:cs="Arial" w:eastAsia="Arial" w:hAnsi="Arial"/>
          <w:sz w:val="24"/>
          <w:szCs w:val="24"/>
        </w:rPr>
        <w:t xml:space="preserve">, com a consequente inexigibilidade dos débitos e a manutenção da suspensão de descontos;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d) a condenação do recorrido à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restituição em dobro</w:t>
      </w:r>
      <w:r>
        <w:rPr>
          <w:rFonts w:ascii="Arial" w:cs="Arial" w:eastAsia="Arial" w:hAnsi="Arial"/>
          <w:sz w:val="24"/>
          <w:szCs w:val="24"/>
        </w:rPr>
        <w:t xml:space="preserve"> dos valores descontados, no total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R$ 13.812,80</w:t>
      </w:r>
      <w:r>
        <w:rPr>
          <w:rFonts w:ascii="Arial" w:cs="Arial" w:eastAsia="Arial" w:hAnsi="Arial"/>
          <w:sz w:val="24"/>
          <w:szCs w:val="24"/>
        </w:rPr>
        <w:t xml:space="preserve">, com correção monetária desde cada desconto e juros de mora de 1% ao mês desde o evento danoso (Súmula 54/STJ);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e) a condenação do recorrido ao pagamento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R$ 40.000,00 a título de danos morais</w:t>
      </w:r>
      <w:r>
        <w:rPr>
          <w:rFonts w:ascii="Arial" w:cs="Arial" w:eastAsia="Arial" w:hAnsi="Arial"/>
          <w:sz w:val="24"/>
          <w:szCs w:val="24"/>
        </w:rPr>
        <w:t xml:space="preserve">, com correção monetária desde o arbitramento (Súmula 362/STJ) e juros de mora desde o evento danoso (Súmula 54/STJ);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f) subsidiariamente, caso seja reconhecido o efetivo recebimento de valor determinado em algum contrato, que a compensação seja limitada ao valor comprovadamente recebido, excluídos valores “refinanciados” ou aplicados em quitação de contratos anteriores não provados;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g) a condenação do recorrido nas custas e nos honorários advocatícios de sucumbência recursal, nos termos do art. 55 da Lei nº 9.099/95;</w:t>
      </w:r>
    </w:p>
    <w:p>
      <w:pPr>
        <w:spacing w:after="80" w:line="360"/>
        <w:ind w:left="1134" w:hanging="425"/>
        <w:jc w:val="both"/>
      </w:pPr>
      <w:r>
        <w:rPr>
          <w:rFonts w:ascii="Arial" w:cs="Arial" w:eastAsia="Arial" w:hAnsi="Arial"/>
          <w:sz w:val="24"/>
          <w:szCs w:val="24"/>
        </w:rPr>
        <w:t xml:space="preserve">h) que as intimações sejam realizadas exclusivamente em nome do advogado signatário.</w:t>
      </w:r>
    </w:p>
    <w:p/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Salvador/BA, 5 de outubro de 2026.</w:t>
      </w:r>
    </w:p>
    <w:p/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CLEYTON DA SILVA BARBOSA</w:t>
      </w:r>
    </w:p>
    <w:p>
      <w:pPr>
        <w:spacing w:after="12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OAB/MS 17.311 — OAB/BA 92.148</w:t>
      </w:r>
    </w:p>
    <w:p/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Anexo:</w:t>
      </w:r>
      <w:r>
        <w:rPr>
          <w:rFonts w:ascii="Arial" w:cs="Arial" w:eastAsia="Arial" w:hAnsi="Arial"/>
          <w:sz w:val="24"/>
          <w:szCs w:val="24"/>
        </w:rPr>
        <w:t xml:space="preserve"> Doc. 01 — Histórico de Créditos do INSS, competência 08/2026 (benefícios NB 109.005.597-5 e NB 084.690.671-6), para comprovação de renda e fins de gratuidade da justiça.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eb5b1a8af7d60d1d14f7cdd6392b4eac5c65d2.jpg"/><Relationship Id="rId8" Type="http://schemas.openxmlformats.org/officeDocument/2006/relationships/image" Target="media/b27110793c2c2b21dfba413a2cd51ab320cec734.jpg"/><Relationship Id="rId9" Type="http://schemas.openxmlformats.org/officeDocument/2006/relationships/image" Target="media/4759e20a20338e979e48355298142df05548a93b.jpg"/><Relationship Id="rId10" Type="http://schemas.openxmlformats.org/officeDocument/2006/relationships/image" Target="media/fe6dcdca3c0068f32e44c2a538267f6bde6a2edd.jpg"/><Relationship Id="rId11" Type="http://schemas.openxmlformats.org/officeDocument/2006/relationships/image" Target="media/246b76fb3df2d261fcd888ac36a603436f066417.jpg"/><Relationship Id="rId12" Type="http://schemas.openxmlformats.org/officeDocument/2006/relationships/image" Target="media/d3e967751015a73e3cf3e1308fcca1779052a9e4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Inominado — 0165608-27.2026.8.05.0001</dc:title>
  <dc:creator>Recurso Inominado</dc:creator>
  <cp:lastModifiedBy>Un-named</cp:lastModifiedBy>
  <cp:revision>1</cp:revision>
  <dcterms:created xsi:type="dcterms:W3CDTF">2026-10-05T03:31:57.310Z</dcterms:created>
  <dcterms:modified xsi:type="dcterms:W3CDTF">2026-10-05T03:31:57.320Z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