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360" w:lineRule="auto" w:after="160" w:before="240"/>
        <w:jc w:val="left"/>
        <w:pBdr>
          <w:bottom w:val="single" w:sz="8" w:space="1" w:color="1F3864"/>
        </w:pBdr>
      </w:pPr>
      <w:r>
        <w:rPr>
          <w:b/>
          <w:color w:val="1F3864"/>
        </w:rPr>
        <w:t>PARTE A — PETIÇÃO DE INTERPOSIÇÃO</w:t>
      </w:r>
    </w:p>
    <w:p>
      <w:pPr>
        <w:spacing w:line="360" w:lineRule="auto" w:after="120"/>
        <w:jc w:val="both"/>
      </w:pPr>
      <w:r>
        <w:rPr>
          <w:b/>
        </w:rPr>
        <w:t>AO JUÍZO DA 4ª VARA DO SISTEMA DOS JUIZADOS ESPECIAIS DO CONSUMIDOR (VESPERTINO) DA COMARCA DE SALVADOR — BAHIA</w:t>
      </w:r>
    </w:p>
    <w:p>
      <w:pPr>
        <w:spacing w:line="360" w:lineRule="auto" w:after="120"/>
        <w:jc w:val="both"/>
      </w:pPr>
      <w:r>
        <w:rPr>
          <w:b/>
          <w:i w:val="0"/>
        </w:rPr>
        <w:t>Processo nº 0165608-27.2026.8.05.0001</w:t>
      </w:r>
    </w:p>
    <w:p>
      <w:pPr>
        <w:spacing w:line="360" w:lineRule="auto" w:after="120"/>
        <w:jc w:val="both"/>
      </w:pPr>
      <w:r>
        <w:rPr>
          <w:b/>
          <w:i w:val="0"/>
        </w:rPr>
        <w:t>PRIORIDADE DE TRAMITAÇÃO — PESSOA IDOSA</w:t>
      </w:r>
      <w:r>
        <w:rPr>
          <w:b w:val="0"/>
          <w:i w:val="0"/>
        </w:rPr>
        <w:t xml:space="preserve"> (art. 71, Lei 10.741/2003; art. 1.048, I, CPC)</w:t>
      </w:r>
    </w:p>
    <w:p>
      <w:pPr>
        <w:spacing w:line="360" w:lineRule="auto" w:after="120"/>
        <w:ind w:firstLine="708"/>
        <w:jc w:val="both"/>
      </w:pPr>
      <w:r>
        <w:rPr>
          <w:b/>
          <w:i w:val="0"/>
        </w:rPr>
        <w:t>MARY RAIMUNDA SANTOS ALMEIDA</w:t>
      </w:r>
      <w:r>
        <w:rPr>
          <w:b w:val="0"/>
          <w:i w:val="0"/>
        </w:rPr>
        <w:t xml:space="preserve">, já qualificada nos autos da ação que move em face de </w:t>
      </w:r>
      <w:r>
        <w:rPr>
          <w:b/>
          <w:i w:val="0"/>
        </w:rPr>
        <w:t>BANCO SANTANDER (BRASIL) S.A.</w:t>
      </w:r>
      <w:r>
        <w:rPr>
          <w:b w:val="0"/>
          <w:i w:val="0"/>
        </w:rPr>
        <w:t xml:space="preserve">, por seu advogado signatário, vem, respeitosamente, perante Vossa Excelência, com fundamento no </w:t>
      </w:r>
      <w:r>
        <w:rPr>
          <w:b/>
          <w:i w:val="0"/>
        </w:rPr>
        <w:t>art. 41 da Lei nº 9.099/95</w:t>
      </w:r>
      <w:r>
        <w:rPr>
          <w:b w:val="0"/>
          <w:i w:val="0"/>
        </w:rPr>
        <w:t xml:space="preserve">, interpor </w:t>
      </w:r>
      <w:r>
        <w:rPr>
          <w:b/>
          <w:i w:val="0"/>
        </w:rPr>
        <w:t>RECURSO INOMINADO</w:t>
      </w:r>
      <w:r>
        <w:rPr>
          <w:b w:val="0"/>
          <w:i w:val="0"/>
        </w:rPr>
        <w:t xml:space="preserve"> contra a r. sentença de improcedência (Id. 207003520), pelas razões anexas, que requer sejam recebidas, processadas e remetidas à Egrégia Turma Recursal competente, após as contrarrazões.</w:t>
      </w:r>
    </w:p>
    <w:p>
      <w:pPr>
        <w:keepNext/>
        <w:spacing w:line="360" w:lineRule="auto" w:after="120" w:before="160"/>
        <w:jc w:val="left"/>
      </w:pPr>
      <w:r>
        <w:rPr>
          <w:b/>
          <w:color w:val="1F3864"/>
        </w:rPr>
        <w:t>1. DA TEMPESTIVIDADE</w:t>
      </w:r>
    </w:p>
    <w:p>
      <w:pPr>
        <w:spacing w:line="360" w:lineRule="auto" w:after="120"/>
        <w:ind w:firstLine="708"/>
        <w:jc w:val="both"/>
      </w:pPr>
      <w:r>
        <w:rPr>
          <w:b w:val="0"/>
          <w:i w:val="0"/>
        </w:rPr>
        <w:t>A recorrente foi intimada da sentença em 06/10/2026 [VERIFICAR ANTES DE PROTOCOLAR: data de intimação nos autos]. O prazo de 10 dias (art. 42, Lei 9.099/95) encerra-se em 21/10/2026, contados em dias úteis e excluído o feriado de 12/10/2026 [VERIFICAR ANTES DE PROTOCOLAR: calendário forense]. O recurso é, portanto, tempestivo.</w:t>
      </w:r>
    </w:p>
    <w:p>
      <w:pPr>
        <w:keepNext/>
        <w:spacing w:line="360" w:lineRule="auto" w:after="120" w:before="160"/>
        <w:jc w:val="left"/>
      </w:pPr>
      <w:r>
        <w:rPr>
          <w:b/>
          <w:color w:val="1F3864"/>
        </w:rPr>
        <w:t>2. DO PEDIDO DE GRATUIDADE DA JUSTIÇA E DA DISPENSA DE PREPARO</w:t>
      </w:r>
    </w:p>
    <w:p>
      <w:pPr>
        <w:spacing w:line="360" w:lineRule="auto" w:after="120"/>
        <w:ind w:firstLine="708"/>
        <w:jc w:val="both"/>
      </w:pPr>
      <w:r>
        <w:rPr>
          <w:b w:val="0"/>
          <w:i w:val="0"/>
        </w:rPr>
        <w:t xml:space="preserve">A recorrente requer a gratuidade da justiça (art. 98, CPC; art. 5º, LXXIV, CF) e instrui este pedido com o </w:t>
      </w:r>
      <w:r>
        <w:rPr>
          <w:b/>
          <w:i w:val="0"/>
        </w:rPr>
        <w:t>Histórico de Créditos do INSS emitido em 04/09/2026 (Doc. 1)</w:t>
      </w:r>
      <w:r>
        <w:rPr>
          <w:b w:val="0"/>
          <w:i w:val="0"/>
        </w:rPr>
        <w:t>, documento oficial e autenticável no portal Meu INSS, do qual constam os seguintes dados: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531"/>
            <w:shd w:val="clear" w:fill="D9E2F3"/>
          </w:tcPr>
          <w:p>
            <w:pPr>
              <w:spacing w:line="240" w:lineRule="auto" w:after="40"/>
            </w:pPr>
            <w:r/>
            <w:r>
              <w:rPr>
                <w:b/>
                <w:sz w:val="19"/>
              </w:rPr>
              <w:t>Benefício (INSS)</w:t>
            </w:r>
          </w:p>
        </w:tc>
        <w:tc>
          <w:tcPr>
            <w:tcW w:type="dxa" w:w="2608"/>
            <w:shd w:val="clear" w:fill="D9E2F3"/>
          </w:tcPr>
          <w:p>
            <w:pPr>
              <w:spacing w:line="240" w:lineRule="auto" w:after="40"/>
            </w:pPr>
            <w:r/>
            <w:r>
              <w:rPr>
                <w:b/>
                <w:sz w:val="19"/>
              </w:rPr>
              <w:t>Espécie</w:t>
            </w:r>
          </w:p>
        </w:tc>
        <w:tc>
          <w:tcPr>
            <w:tcW w:type="dxa" w:w="1417"/>
            <w:shd w:val="clear" w:fill="D9E2F3"/>
          </w:tcPr>
          <w:p>
            <w:pPr>
              <w:spacing w:line="240" w:lineRule="auto" w:after="40"/>
            </w:pPr>
            <w:r/>
            <w:r>
              <w:rPr>
                <w:b/>
                <w:sz w:val="19"/>
              </w:rPr>
              <w:t>Valor bruto (08/2026)</w:t>
            </w:r>
          </w:p>
        </w:tc>
        <w:tc>
          <w:tcPr>
            <w:tcW w:type="dxa" w:w="1701"/>
            <w:shd w:val="clear" w:fill="D9E2F3"/>
          </w:tcPr>
          <w:p>
            <w:pPr>
              <w:spacing w:line="240" w:lineRule="auto" w:after="40"/>
            </w:pPr>
            <w:r/>
            <w:r>
              <w:rPr>
                <w:b/>
                <w:sz w:val="19"/>
              </w:rPr>
              <w:t>Descontos (rubricas 216, 217 e 268)</w:t>
            </w:r>
          </w:p>
        </w:tc>
        <w:tc>
          <w:tcPr>
            <w:tcW w:type="dxa" w:w="1474"/>
            <w:shd w:val="clear" w:fill="D9E2F3"/>
          </w:tcPr>
          <w:p>
            <w:pPr>
              <w:spacing w:line="240" w:lineRule="auto" w:after="40"/>
            </w:pPr>
            <w:r/>
            <w:r>
              <w:rPr>
                <w:b/>
                <w:sz w:val="19"/>
              </w:rPr>
              <w:t>Líquido recebido (08/2026)</w:t>
            </w:r>
          </w:p>
        </w:tc>
      </w:tr>
      <w:tr>
        <w:tc>
          <w:tcPr>
            <w:tcW w:type="dxa" w:w="1531"/>
          </w:tcPr>
          <w:p>
            <w:pPr>
              <w:spacing w:line="240" w:lineRule="auto" w:after="40"/>
            </w:pPr>
            <w:r/>
            <w:r>
              <w:rPr>
                <w:b w:val="0"/>
                <w:sz w:val="19"/>
              </w:rPr>
              <w:t>NB 109.005.597-5</w:t>
            </w:r>
          </w:p>
        </w:tc>
        <w:tc>
          <w:tcPr>
            <w:tcW w:type="dxa" w:w="2608"/>
          </w:tcPr>
          <w:p>
            <w:pPr>
              <w:spacing w:line="240" w:lineRule="auto" w:after="40"/>
            </w:pPr>
            <w:r/>
            <w:r>
              <w:rPr>
                <w:b w:val="0"/>
                <w:sz w:val="19"/>
              </w:rPr>
              <w:t>Aposentadoria por incapacidade permanente previdenciária (DIB 01/02/1998)</w:t>
            </w:r>
          </w:p>
        </w:tc>
        <w:tc>
          <w:tcPr>
            <w:tcW w:type="dxa" w:w="1417"/>
          </w:tcPr>
          <w:p>
            <w:pPr>
              <w:spacing w:line="240" w:lineRule="auto" w:after="40"/>
            </w:pPr>
            <w:r/>
            <w:r>
              <w:rPr>
                <w:b w:val="0"/>
                <w:sz w:val="19"/>
              </w:rPr>
              <w:t>R$ 1.621,00</w:t>
            </w:r>
          </w:p>
        </w:tc>
        <w:tc>
          <w:tcPr>
            <w:tcW w:type="dxa" w:w="1701"/>
          </w:tcPr>
          <w:p>
            <w:pPr>
              <w:spacing w:line="240" w:lineRule="auto" w:after="40"/>
            </w:pPr>
            <w:r/>
            <w:r>
              <w:rPr>
                <w:b w:val="0"/>
                <w:sz w:val="19"/>
              </w:rPr>
              <w:t>R$ 692,79</w:t>
            </w:r>
          </w:p>
        </w:tc>
        <w:tc>
          <w:tcPr>
            <w:tcW w:type="dxa" w:w="1474"/>
          </w:tcPr>
          <w:p>
            <w:pPr>
              <w:spacing w:line="240" w:lineRule="auto" w:after="40"/>
            </w:pPr>
            <w:r/>
            <w:r>
              <w:rPr>
                <w:b w:val="0"/>
                <w:sz w:val="19"/>
              </w:rPr>
              <w:t>R$ 928,21</w:t>
            </w:r>
          </w:p>
        </w:tc>
      </w:tr>
      <w:tr>
        <w:tc>
          <w:tcPr>
            <w:tcW w:type="dxa" w:w="1531"/>
          </w:tcPr>
          <w:p>
            <w:pPr>
              <w:spacing w:line="240" w:lineRule="auto" w:after="40"/>
            </w:pPr>
            <w:r/>
            <w:r>
              <w:rPr>
                <w:b w:val="0"/>
                <w:sz w:val="19"/>
              </w:rPr>
              <w:t>NB 084.690.671-6</w:t>
            </w:r>
          </w:p>
        </w:tc>
        <w:tc>
          <w:tcPr>
            <w:tcW w:type="dxa" w:w="2608"/>
          </w:tcPr>
          <w:p>
            <w:pPr>
              <w:spacing w:line="240" w:lineRule="auto" w:after="40"/>
            </w:pPr>
            <w:r/>
            <w:r>
              <w:rPr>
                <w:b w:val="0"/>
                <w:sz w:val="19"/>
              </w:rPr>
              <w:t>Pensão por morte por acidente de trabalho (DIB 21/08/1988)</w:t>
            </w:r>
          </w:p>
        </w:tc>
        <w:tc>
          <w:tcPr>
            <w:tcW w:type="dxa" w:w="1417"/>
          </w:tcPr>
          <w:p>
            <w:pPr>
              <w:spacing w:line="240" w:lineRule="auto" w:after="40"/>
            </w:pPr>
            <w:r/>
            <w:r>
              <w:rPr>
                <w:b w:val="0"/>
                <w:sz w:val="19"/>
              </w:rPr>
              <w:t>R$ 1.621,00</w:t>
            </w:r>
          </w:p>
        </w:tc>
        <w:tc>
          <w:tcPr>
            <w:tcW w:type="dxa" w:w="1701"/>
          </w:tcPr>
          <w:p>
            <w:pPr>
              <w:spacing w:line="240" w:lineRule="auto" w:after="40"/>
            </w:pPr>
            <w:r/>
            <w:r>
              <w:rPr>
                <w:b w:val="0"/>
                <w:sz w:val="19"/>
              </w:rPr>
              <w:t>R$ 687,49</w:t>
            </w:r>
          </w:p>
        </w:tc>
        <w:tc>
          <w:tcPr>
            <w:tcW w:type="dxa" w:w="1474"/>
          </w:tcPr>
          <w:p>
            <w:pPr>
              <w:spacing w:line="240" w:lineRule="auto" w:after="40"/>
            </w:pPr>
            <w:r/>
            <w:r>
              <w:rPr>
                <w:b w:val="0"/>
                <w:sz w:val="19"/>
              </w:rPr>
              <w:t>R$ 933,51</w:t>
            </w:r>
          </w:p>
        </w:tc>
      </w:tr>
      <w:tr>
        <w:tc>
          <w:tcPr>
            <w:tcW w:type="dxa" w:w="1531"/>
          </w:tcPr>
          <w:p>
            <w:pPr>
              <w:spacing w:line="240" w:lineRule="auto" w:after="40"/>
            </w:pPr>
            <w:r/>
            <w:r>
              <w:rPr>
                <w:b/>
                <w:sz w:val="19"/>
              </w:rPr>
              <w:t>Total</w:t>
            </w:r>
          </w:p>
        </w:tc>
        <w:tc>
          <w:tcPr>
            <w:tcW w:type="dxa" w:w="2608"/>
          </w:tcPr>
          <w:p>
            <w:pPr>
              <w:spacing w:line="240" w:lineRule="auto" w:after="40"/>
            </w:pPr>
            <w:r/>
            <w:r>
              <w:rPr>
                <w:b w:val="0"/>
                <w:sz w:val="19"/>
              </w:rPr>
            </w:r>
          </w:p>
        </w:tc>
        <w:tc>
          <w:tcPr>
            <w:tcW w:type="dxa" w:w="1417"/>
          </w:tcPr>
          <w:p>
            <w:pPr>
              <w:spacing w:line="240" w:lineRule="auto" w:after="40"/>
            </w:pPr>
            <w:r/>
            <w:r>
              <w:rPr>
                <w:b/>
                <w:sz w:val="19"/>
              </w:rPr>
              <w:t>R$ 3.242,00</w:t>
            </w:r>
          </w:p>
        </w:tc>
        <w:tc>
          <w:tcPr>
            <w:tcW w:type="dxa" w:w="1701"/>
          </w:tcPr>
          <w:p>
            <w:pPr>
              <w:spacing w:line="240" w:lineRule="auto" w:after="40"/>
            </w:pPr>
            <w:r/>
            <w:r>
              <w:rPr>
                <w:b/>
                <w:sz w:val="19"/>
              </w:rPr>
              <w:t>R$ 1.380,28</w:t>
            </w:r>
          </w:p>
        </w:tc>
        <w:tc>
          <w:tcPr>
            <w:tcW w:type="dxa" w:w="1474"/>
          </w:tcPr>
          <w:p>
            <w:pPr>
              <w:spacing w:line="240" w:lineRule="auto" w:after="40"/>
            </w:pPr>
            <w:r/>
            <w:r>
              <w:rPr>
                <w:b/>
                <w:sz w:val="19"/>
              </w:rPr>
              <w:t>R$ 1.861,72</w:t>
            </w:r>
          </w:p>
        </w:tc>
      </w:tr>
    </w:tbl>
    <w:p>
      <w:pPr>
        <w:spacing w:after="80"/>
      </w:pPr>
    </w:p>
    <w:p>
      <w:pPr>
        <w:spacing w:line="360" w:lineRule="auto" w:after="120"/>
        <w:ind w:firstLine="708"/>
        <w:jc w:val="both"/>
      </w:pPr>
      <w:r>
        <w:rPr>
          <w:b w:val="0"/>
          <w:i w:val="0"/>
        </w:rPr>
        <w:t xml:space="preserve">Os documentos demonstram que a recorrente, pessoa idosa (nascida em 08/02/1960), é titular de dois benefícios previdenciários de um salário mínimo cada, pagos em conta no Banco Mercantil (389), e que </w:t>
      </w:r>
      <w:r>
        <w:rPr>
          <w:b/>
          <w:i w:val="0"/>
        </w:rPr>
        <w:t>cerca de 42,6% da renda bruta (R$ 1.380,28 de R$ 3.242,00)</w:t>
      </w:r>
      <w:r>
        <w:rPr>
          <w:b w:val="0"/>
          <w:i w:val="0"/>
        </w:rPr>
        <w:t xml:space="preserve"> é retida mensalmente, diretamente na fonte, a título de empréstimos consignados, reserva de margem de cartão e consignação de cartão. A renda efetivamente disponível, de R$ 1.861,72, evidencia a impossibilidade de arcar com custas e despesas processuais sem prejuízo do sustento próprio.</w:t>
      </w:r>
    </w:p>
    <w:p>
      <w:pPr>
        <w:spacing w:line="360" w:lineRule="auto" w:after="120"/>
        <w:ind w:firstLine="708"/>
        <w:jc w:val="both"/>
      </w:pPr>
      <w:r>
        <w:rPr>
          <w:b w:val="0"/>
          <w:i w:val="0"/>
        </w:rPr>
        <w:t xml:space="preserve">Requer, assim, o deferimento da gratuidade, com a consequente </w:t>
      </w:r>
      <w:r>
        <w:rPr>
          <w:b/>
          <w:i w:val="0"/>
        </w:rPr>
        <w:t>dispensa de preparo</w:t>
      </w:r>
      <w:r>
        <w:rPr>
          <w:b w:val="0"/>
          <w:i w:val="0"/>
        </w:rPr>
        <w:t xml:space="preserve"> (art. 42, § 1º, Lei 9.099/95). Subsidiariamente, caso a gratuidade seja indeferida, requer seja oportunizado o recolhimento do preparo em prazo a ser fixado, nos termos do art. 99, § 7º, do CPC [VERIFICAR ANTES DE PROTOCOLAR: redação do dispositivo].</w:t>
      </w:r>
    </w:p>
    <w:p>
      <w:pPr>
        <w:keepNext/>
        <w:spacing w:line="360" w:lineRule="auto" w:after="120" w:before="160"/>
        <w:jc w:val="left"/>
      </w:pPr>
      <w:r>
        <w:rPr>
          <w:b/>
          <w:color w:val="1F3864"/>
        </w:rPr>
        <w:t>3. DOS REQUERIMENTOS</w:t>
      </w:r>
    </w:p>
    <w:p>
      <w:pPr>
        <w:spacing w:line="360" w:lineRule="auto" w:after="120"/>
        <w:ind w:firstLine="708"/>
        <w:jc w:val="both"/>
      </w:pPr>
      <w:r>
        <w:rPr>
          <w:b w:val="0"/>
          <w:i w:val="0"/>
        </w:rPr>
        <w:t>Requer o recebimento do recurso, o processamento com as razões anexas e a remessa dos autos à Egrégia Turma Recursal, com a anotação de que todas as intimações sejam feitas em nome do advogado signatário.</w:t>
      </w:r>
    </w:p>
    <w:p>
      <w:pPr>
        <w:spacing w:line="360" w:lineRule="auto" w:after="120"/>
        <w:jc w:val="both"/>
      </w:pPr>
      <w:r>
        <w:rPr>
          <w:b w:val="0"/>
          <w:i w:val="0"/>
        </w:rPr>
        <w:t>Termos em que pede deferimento.</w:t>
      </w:r>
    </w:p>
    <w:p>
      <w:pPr>
        <w:spacing w:line="360" w:lineRule="auto" w:after="120"/>
        <w:jc w:val="both"/>
      </w:pPr>
      <w:r>
        <w:rPr>
          <w:b w:val="0"/>
          <w:i w:val="0"/>
        </w:rPr>
        <w:t>Salvador/BA, data da assinatura eletrônica.</w:t>
      </w:r>
    </w:p>
    <w:p>
      <w:pPr>
        <w:spacing w:line="360" w:lineRule="auto" w:after="120"/>
        <w:jc w:val="center"/>
      </w:pPr>
      <w:r>
        <w:rPr>
          <w:b w:val="0"/>
          <w:i w:val="0"/>
        </w:rPr>
        <w:t>CLEYTON DA SILVA BARBOSA</w:t>
        <w:br/>
        <w:t>OAB/MS 17.311 — OAB/BA 92.148</w:t>
      </w:r>
    </w:p>
    <w:p>
      <w:r>
        <w:br w:type="page"/>
      </w:r>
    </w:p>
    <w:p>
      <w:pPr>
        <w:keepNext/>
        <w:spacing w:line="360" w:lineRule="auto" w:after="160" w:before="240"/>
        <w:jc w:val="left"/>
        <w:pBdr>
          <w:bottom w:val="single" w:sz="8" w:space="1" w:color="1F3864"/>
        </w:pBdr>
      </w:pPr>
      <w:r>
        <w:rPr>
          <w:b/>
          <w:color w:val="1F3864"/>
        </w:rPr>
        <w:t>PARTE B — RAZÕES DO RECURSO INOMINADO</w:t>
      </w:r>
    </w:p>
    <w:p>
      <w:pPr>
        <w:spacing w:line="360" w:lineRule="auto" w:after="120"/>
        <w:jc w:val="both"/>
      </w:pPr>
      <w:r>
        <w:rPr>
          <w:b/>
        </w:rPr>
        <w:t>EGRÉGIA TURMA RECURSAL DOS JUIZADOS ESPECIAIS CÍVEIS DO ESTADO DA BAHIA</w:t>
      </w:r>
    </w:p>
    <w:p>
      <w:pPr>
        <w:spacing w:line="360" w:lineRule="auto" w:after="120"/>
        <w:jc w:val="left"/>
      </w:pPr>
      <w:r>
        <w:rPr>
          <w:b/>
          <w:i w:val="0"/>
        </w:rPr>
        <w:t>RECORRENTE:</w:t>
      </w:r>
      <w:r>
        <w:rPr>
          <w:b w:val="0"/>
          <w:i w:val="0"/>
        </w:rPr>
        <w:t xml:space="preserve"> MARY RAIMUNDA SANTOS ALMEIDA</w:t>
        <w:br/>
      </w:r>
      <w:r>
        <w:rPr>
          <w:b/>
          <w:i w:val="0"/>
        </w:rPr>
        <w:t>RECORRIDO:</w:t>
      </w:r>
      <w:r>
        <w:rPr>
          <w:b w:val="0"/>
          <w:i w:val="0"/>
        </w:rPr>
        <w:t xml:space="preserve"> BANCO SANTANDER (BRASIL) S.A.</w:t>
        <w:br/>
      </w:r>
      <w:r>
        <w:rPr>
          <w:b/>
          <w:i w:val="0"/>
        </w:rPr>
        <w:t>PROCESSO DE ORIGEM:</w:t>
      </w:r>
      <w:r>
        <w:rPr>
          <w:b w:val="0"/>
          <w:i w:val="0"/>
        </w:rPr>
        <w:t xml:space="preserve"> 0165608-27.2026.8.05.0001 — 4ª VSJE do Consumidor (Vespertino), Salvador/BA</w:t>
      </w:r>
    </w:p>
    <w:p>
      <w:pPr>
        <w:spacing w:line="360" w:lineRule="auto" w:after="120"/>
        <w:jc w:val="left"/>
      </w:pPr>
      <w:r>
        <w:rPr>
          <w:b w:val="0"/>
          <w:i w:val="0"/>
        </w:rPr>
        <w:t>Colenda Turma,</w:t>
        <w:br/>
        <w:t>Eméritos Julgadores,</w:t>
      </w:r>
    </w:p>
    <w:p>
      <w:pPr>
        <w:keepNext/>
        <w:spacing w:line="360" w:lineRule="auto" w:after="160" w:before="240"/>
        <w:jc w:val="left"/>
        <w:pBdr>
          <w:bottom w:val="single" w:sz="8" w:space="1" w:color="1F3864"/>
        </w:pBdr>
      </w:pPr>
      <w:r>
        <w:rPr>
          <w:b/>
          <w:color w:val="1F3864"/>
        </w:rPr>
        <w:t>I — SÍNTESE DA DEMANDA E DA SENTENÇA RECORRIDA</w:t>
      </w:r>
    </w:p>
    <w:p>
      <w:pPr>
        <w:spacing w:line="360" w:lineRule="auto" w:after="120"/>
        <w:ind w:firstLine="708"/>
        <w:jc w:val="both"/>
      </w:pPr>
      <w:r>
        <w:rPr>
          <w:b w:val="0"/>
          <w:i w:val="0"/>
        </w:rPr>
        <w:t xml:space="preserve">A recorrente, idosa de 66 anos e beneficiária do INSS, ajuizou a presente ação declaratória de inexistência de relação jurídica cumulada com repetição de indébito em dobro e indenização por danos morais, por não reconhecer </w:t>
      </w:r>
      <w:r>
        <w:rPr>
          <w:b/>
          <w:i w:val="0"/>
        </w:rPr>
        <w:t>três</w:t>
      </w:r>
      <w:r>
        <w:rPr>
          <w:b w:val="0"/>
          <w:i w:val="0"/>
        </w:rPr>
        <w:t xml:space="preserve"> empréstimos consignados descontados de seu benefício (inicial, Id. 202432171, Pág. 5):</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361"/>
            <w:shd w:val="clear" w:fill="D9E2F3"/>
          </w:tcPr>
          <w:p>
            <w:pPr>
              <w:spacing w:line="240" w:lineRule="auto" w:after="40"/>
            </w:pPr>
            <w:r/>
            <w:r>
              <w:rPr>
                <w:b/>
                <w:sz w:val="19"/>
              </w:rPr>
              <w:t>Contrato</w:t>
            </w:r>
          </w:p>
        </w:tc>
        <w:tc>
          <w:tcPr>
            <w:tcW w:type="dxa" w:w="3515"/>
            <w:shd w:val="clear" w:fill="D9E2F3"/>
          </w:tcPr>
          <w:p>
            <w:pPr>
              <w:spacing w:line="240" w:lineRule="auto" w:after="40"/>
            </w:pPr>
            <w:r/>
            <w:r>
              <w:rPr>
                <w:b/>
                <w:sz w:val="19"/>
              </w:rPr>
              <w:t>Averbação / situação</w:t>
            </w:r>
          </w:p>
        </w:tc>
        <w:tc>
          <w:tcPr>
            <w:tcW w:type="dxa" w:w="1134"/>
            <w:shd w:val="clear" w:fill="D9E2F3"/>
          </w:tcPr>
          <w:p>
            <w:pPr>
              <w:spacing w:line="240" w:lineRule="auto" w:after="40"/>
            </w:pPr>
            <w:r/>
            <w:r>
              <w:rPr>
                <w:b/>
                <w:sz w:val="19"/>
              </w:rPr>
              <w:t>Parcela</w:t>
            </w:r>
          </w:p>
        </w:tc>
        <w:tc>
          <w:tcPr>
            <w:tcW w:type="dxa" w:w="1531"/>
            <w:shd w:val="clear" w:fill="D9E2F3"/>
          </w:tcPr>
          <w:p>
            <w:pPr>
              <w:spacing w:line="240" w:lineRule="auto" w:after="40"/>
            </w:pPr>
            <w:r/>
            <w:r>
              <w:rPr>
                <w:b/>
                <w:sz w:val="19"/>
              </w:rPr>
              <w:t>Parcelas descontadas</w:t>
            </w:r>
          </w:p>
        </w:tc>
        <w:tc>
          <w:tcPr>
            <w:tcW w:type="dxa" w:w="1474"/>
            <w:shd w:val="clear" w:fill="D9E2F3"/>
          </w:tcPr>
          <w:p>
            <w:pPr>
              <w:spacing w:line="240" w:lineRule="auto" w:after="40"/>
            </w:pPr>
            <w:r/>
            <w:r>
              <w:rPr>
                <w:b/>
                <w:sz w:val="19"/>
              </w:rPr>
              <w:t>Total descontado</w:t>
            </w:r>
          </w:p>
        </w:tc>
      </w:tr>
      <w:tr>
        <w:tc>
          <w:tcPr>
            <w:tcW w:type="dxa" w:w="1361"/>
          </w:tcPr>
          <w:p>
            <w:pPr>
              <w:spacing w:line="240" w:lineRule="auto" w:after="40"/>
            </w:pPr>
            <w:r/>
            <w:r>
              <w:rPr>
                <w:b w:val="0"/>
                <w:sz w:val="19"/>
              </w:rPr>
              <w:t>180957451</w:t>
            </w:r>
          </w:p>
        </w:tc>
        <w:tc>
          <w:tcPr>
            <w:tcW w:type="dxa" w:w="3515"/>
          </w:tcPr>
          <w:p>
            <w:pPr>
              <w:spacing w:line="240" w:lineRule="auto" w:after="40"/>
            </w:pPr>
            <w:r/>
            <w:r>
              <w:rPr>
                <w:b w:val="0"/>
                <w:sz w:val="19"/>
              </w:rPr>
              <w:t>averbado em 05/12/2019; excluído em 23/07/2021</w:t>
            </w:r>
          </w:p>
        </w:tc>
        <w:tc>
          <w:tcPr>
            <w:tcW w:type="dxa" w:w="1134"/>
          </w:tcPr>
          <w:p>
            <w:pPr>
              <w:spacing w:line="240" w:lineRule="auto" w:after="40"/>
            </w:pPr>
            <w:r/>
            <w:r>
              <w:rPr>
                <w:b w:val="0"/>
                <w:sz w:val="19"/>
              </w:rPr>
              <w:t>R$ 217,10</w:t>
            </w:r>
          </w:p>
        </w:tc>
        <w:tc>
          <w:tcPr>
            <w:tcW w:type="dxa" w:w="1531"/>
          </w:tcPr>
          <w:p>
            <w:pPr>
              <w:spacing w:line="240" w:lineRule="auto" w:after="40"/>
            </w:pPr>
            <w:r/>
            <w:r>
              <w:rPr>
                <w:b w:val="0"/>
                <w:sz w:val="19"/>
              </w:rPr>
              <w:t>20</w:t>
            </w:r>
          </w:p>
        </w:tc>
        <w:tc>
          <w:tcPr>
            <w:tcW w:type="dxa" w:w="1474"/>
          </w:tcPr>
          <w:p>
            <w:pPr>
              <w:spacing w:line="240" w:lineRule="auto" w:after="40"/>
            </w:pPr>
            <w:r/>
            <w:r>
              <w:rPr>
                <w:b w:val="0"/>
                <w:sz w:val="19"/>
              </w:rPr>
              <w:t>R$ 4.342,00</w:t>
            </w:r>
          </w:p>
        </w:tc>
      </w:tr>
      <w:tr>
        <w:tc>
          <w:tcPr>
            <w:tcW w:type="dxa" w:w="1361"/>
          </w:tcPr>
          <w:p>
            <w:pPr>
              <w:spacing w:line="240" w:lineRule="auto" w:after="40"/>
            </w:pPr>
            <w:r/>
            <w:r>
              <w:rPr>
                <w:b w:val="0"/>
                <w:sz w:val="19"/>
              </w:rPr>
              <w:t>185097140</w:t>
            </w:r>
          </w:p>
        </w:tc>
        <w:tc>
          <w:tcPr>
            <w:tcW w:type="dxa" w:w="3515"/>
          </w:tcPr>
          <w:p>
            <w:pPr>
              <w:spacing w:line="240" w:lineRule="auto" w:after="40"/>
            </w:pPr>
            <w:r/>
            <w:r>
              <w:rPr>
                <w:b w:val="0"/>
                <w:sz w:val="19"/>
              </w:rPr>
              <w:t>averbado em 22/01/2020; encerrado em 01/01/2026</w:t>
            </w:r>
          </w:p>
        </w:tc>
        <w:tc>
          <w:tcPr>
            <w:tcW w:type="dxa" w:w="1134"/>
          </w:tcPr>
          <w:p>
            <w:pPr>
              <w:spacing w:line="240" w:lineRule="auto" w:after="40"/>
            </w:pPr>
            <w:r/>
            <w:r>
              <w:rPr>
                <w:b w:val="0"/>
                <w:sz w:val="19"/>
              </w:rPr>
              <w:t>R$ 12,00</w:t>
            </w:r>
          </w:p>
        </w:tc>
        <w:tc>
          <w:tcPr>
            <w:tcW w:type="dxa" w:w="1531"/>
          </w:tcPr>
          <w:p>
            <w:pPr>
              <w:spacing w:line="240" w:lineRule="auto" w:after="40"/>
            </w:pPr>
            <w:r/>
            <w:r>
              <w:rPr>
                <w:b w:val="0"/>
                <w:sz w:val="19"/>
              </w:rPr>
              <w:t>72</w:t>
            </w:r>
          </w:p>
        </w:tc>
        <w:tc>
          <w:tcPr>
            <w:tcW w:type="dxa" w:w="1474"/>
          </w:tcPr>
          <w:p>
            <w:pPr>
              <w:spacing w:line="240" w:lineRule="auto" w:after="40"/>
            </w:pPr>
            <w:r/>
            <w:r>
              <w:rPr>
                <w:b w:val="0"/>
                <w:sz w:val="19"/>
              </w:rPr>
              <w:t>R$ 864,00</w:t>
            </w:r>
          </w:p>
        </w:tc>
      </w:tr>
      <w:tr>
        <w:tc>
          <w:tcPr>
            <w:tcW w:type="dxa" w:w="1361"/>
          </w:tcPr>
          <w:p>
            <w:pPr>
              <w:spacing w:line="240" w:lineRule="auto" w:after="40"/>
            </w:pPr>
            <w:r/>
            <w:r>
              <w:rPr>
                <w:b w:val="0"/>
                <w:sz w:val="19"/>
              </w:rPr>
              <w:t>204125174</w:t>
            </w:r>
          </w:p>
        </w:tc>
        <w:tc>
          <w:tcPr>
            <w:tcW w:type="dxa" w:w="3515"/>
          </w:tcPr>
          <w:p>
            <w:pPr>
              <w:spacing w:line="240" w:lineRule="auto" w:after="40"/>
            </w:pPr>
            <w:r/>
            <w:r>
              <w:rPr>
                <w:b w:val="0"/>
                <w:sz w:val="19"/>
              </w:rPr>
              <w:t>averbado em 27/07/2020; excluído em 17/11/2023</w:t>
            </w:r>
          </w:p>
        </w:tc>
        <w:tc>
          <w:tcPr>
            <w:tcW w:type="dxa" w:w="1134"/>
          </w:tcPr>
          <w:p>
            <w:pPr>
              <w:spacing w:line="240" w:lineRule="auto" w:after="40"/>
            </w:pPr>
            <w:r/>
            <w:r>
              <w:rPr>
                <w:b w:val="0"/>
                <w:sz w:val="19"/>
              </w:rPr>
              <w:t>R$ 43,60</w:t>
            </w:r>
          </w:p>
        </w:tc>
        <w:tc>
          <w:tcPr>
            <w:tcW w:type="dxa" w:w="1531"/>
          </w:tcPr>
          <w:p>
            <w:pPr>
              <w:spacing w:line="240" w:lineRule="auto" w:after="40"/>
            </w:pPr>
            <w:r/>
            <w:r>
              <w:rPr>
                <w:b w:val="0"/>
                <w:sz w:val="19"/>
              </w:rPr>
              <w:t>39</w:t>
            </w:r>
          </w:p>
        </w:tc>
        <w:tc>
          <w:tcPr>
            <w:tcW w:type="dxa" w:w="1474"/>
          </w:tcPr>
          <w:p>
            <w:pPr>
              <w:spacing w:line="240" w:lineRule="auto" w:after="40"/>
            </w:pPr>
            <w:r/>
            <w:r>
              <w:rPr>
                <w:b w:val="0"/>
                <w:sz w:val="19"/>
              </w:rPr>
              <w:t>R$ 1.700,40</w:t>
            </w:r>
          </w:p>
        </w:tc>
      </w:tr>
      <w:tr>
        <w:tc>
          <w:tcPr>
            <w:tcW w:type="dxa" w:w="1361"/>
          </w:tcPr>
          <w:p>
            <w:pPr>
              <w:spacing w:line="240" w:lineRule="auto" w:after="40"/>
            </w:pPr>
            <w:r/>
            <w:r>
              <w:rPr>
                <w:b/>
                <w:sz w:val="19"/>
              </w:rPr>
              <w:t>Total</w:t>
            </w:r>
          </w:p>
        </w:tc>
        <w:tc>
          <w:tcPr>
            <w:tcW w:type="dxa" w:w="3515"/>
          </w:tcPr>
          <w:p>
            <w:pPr>
              <w:spacing w:line="240" w:lineRule="auto" w:after="40"/>
            </w:pPr>
            <w:r/>
            <w:r>
              <w:rPr>
                <w:b w:val="0"/>
                <w:sz w:val="19"/>
              </w:rPr>
            </w:r>
          </w:p>
        </w:tc>
        <w:tc>
          <w:tcPr>
            <w:tcW w:type="dxa" w:w="1134"/>
          </w:tcPr>
          <w:p>
            <w:pPr>
              <w:spacing w:line="240" w:lineRule="auto" w:after="40"/>
            </w:pPr>
            <w:r/>
            <w:r>
              <w:rPr>
                <w:b w:val="0"/>
                <w:sz w:val="19"/>
              </w:rPr>
            </w:r>
          </w:p>
        </w:tc>
        <w:tc>
          <w:tcPr>
            <w:tcW w:type="dxa" w:w="1531"/>
          </w:tcPr>
          <w:p>
            <w:pPr>
              <w:spacing w:line="240" w:lineRule="auto" w:after="40"/>
            </w:pPr>
            <w:r/>
            <w:r>
              <w:rPr>
                <w:b w:val="0"/>
                <w:sz w:val="19"/>
              </w:rPr>
            </w:r>
          </w:p>
        </w:tc>
        <w:tc>
          <w:tcPr>
            <w:tcW w:type="dxa" w:w="1474"/>
          </w:tcPr>
          <w:p>
            <w:pPr>
              <w:spacing w:line="240" w:lineRule="auto" w:after="40"/>
            </w:pPr>
            <w:r/>
            <w:r>
              <w:rPr>
                <w:b/>
                <w:sz w:val="19"/>
              </w:rPr>
              <w:t>R$ 6.906,40</w:t>
            </w:r>
          </w:p>
        </w:tc>
      </w:tr>
    </w:tbl>
    <w:p>
      <w:pPr>
        <w:spacing w:after="80"/>
      </w:pPr>
    </w:p>
    <w:p>
      <w:pPr>
        <w:spacing w:line="360" w:lineRule="auto" w:after="120"/>
        <w:ind w:firstLine="708"/>
        <w:jc w:val="both"/>
      </w:pPr>
      <w:r>
        <w:rPr>
          <w:b w:val="0"/>
          <w:i w:val="0"/>
        </w:rPr>
        <w:t>Pediu a restituição em dobro (R$ 13.812,80) e dano moral de R$ 40.000,00.</w:t>
      </w:r>
    </w:p>
    <w:p>
      <w:pPr>
        <w:spacing w:line="360" w:lineRule="auto" w:after="120"/>
        <w:ind w:firstLine="708"/>
        <w:jc w:val="both"/>
      </w:pPr>
      <w:r>
        <w:rPr>
          <w:b w:val="0"/>
          <w:i w:val="0"/>
        </w:rPr>
        <w:t>A sentença (Id. 207003520) julgou improcedentes os pedidos. Deixou de analisar as preliminares (art. 488, CPC) e, no mérito, assentou, em síntese, que (i) "a demandada trouxe aos autos demonstração de que a demandante firmou o contrato em tela por meio de aposição de sua assinatura digital"; (ii) juntou também "o comprovante de transferência destinada a conta corrente de titularidade da parte demandante"; (iii) "não há outra conclusão a não ser entender que a Autora efetivamente contratou o empréstimo"; e (iv) "há indícios suficientes nos autos da relação entabulada entre as partes", pelo que não seria possível acolher a tese de inexistência de débitos nem, "consequentemente", o dano moral. Amparou-se em dois precedentes e na Súmula nº 10 da TUJ/BA.</w:t>
      </w:r>
    </w:p>
    <w:p>
      <w:pPr>
        <w:spacing w:line="360" w:lineRule="auto" w:after="120"/>
        <w:ind w:firstLine="708"/>
        <w:jc w:val="both"/>
      </w:pPr>
      <w:r>
        <w:rPr>
          <w:b/>
          <w:i w:val="0"/>
        </w:rPr>
        <w:t>A sentença incorre em três vícios que se somam:</w:t>
      </w:r>
      <w:r>
        <w:rPr>
          <w:b w:val="0"/>
          <w:i w:val="0"/>
        </w:rPr>
        <w:t xml:space="preserve"> (a) refere-se a "o contrato em tela", no singular, quando há três contratos, com instrumentos, correspondentes, datas, contas e documentos distintos, nenhum dos quais foi analisado individualmente; (b) parte de premissa fática inexata, a de "assinatura digital", que só corresponde a um dos três instrumentos; e (c) afirma a existência de TED "para conta corrente de titularidade da parte demandante" sem que haja prova dessa titularidade nos autos e, quanto a um dos contratos, sem que haja sequer comprovante de TED nem número de conta de destino. Além disso, trata como suficiente um mero "indício" de contratação, quando o ônus era do réu provar a contratação.</w:t>
      </w:r>
    </w:p>
    <w:p>
      <w:pPr>
        <w:keepNext/>
        <w:spacing w:line="360" w:lineRule="auto" w:after="160" w:before="240"/>
        <w:jc w:val="left"/>
        <w:pBdr>
          <w:bottom w:val="single" w:sz="8" w:space="1" w:color="1F3864"/>
        </w:pBdr>
      </w:pPr>
      <w:r>
        <w:rPr>
          <w:b/>
          <w:color w:val="1F3864"/>
        </w:rPr>
        <w:t>II — DA TEMPESTIVIDADE E DA ADMISSIBILIDADE</w:t>
      </w:r>
    </w:p>
    <w:p>
      <w:pPr>
        <w:spacing w:line="360" w:lineRule="auto" w:after="120"/>
        <w:ind w:firstLine="708"/>
        <w:jc w:val="both"/>
      </w:pPr>
      <w:r>
        <w:rPr>
          <w:b w:val="0"/>
          <w:i w:val="0"/>
        </w:rPr>
        <w:t>O recurso é próprio (art. 41, Lei 9.099/95) e tempestivo (art. 42, Lei 9.099/95), conforme exposto na petição de interposição. O preparo é dispensado em razão do pedido de gratuidade formulado e documentalmente instruído (Doc. 1).</w:t>
      </w:r>
    </w:p>
    <w:p>
      <w:pPr>
        <w:keepNext/>
        <w:spacing w:line="360" w:lineRule="auto" w:after="160" w:before="240"/>
        <w:jc w:val="left"/>
        <w:pBdr>
          <w:bottom w:val="single" w:sz="8" w:space="1" w:color="1F3864"/>
        </w:pBdr>
      </w:pPr>
      <w:r>
        <w:rPr>
          <w:b/>
          <w:color w:val="1F3864"/>
        </w:rPr>
        <w:t>III — DA DELIMITAÇÃO DO OBJETO DO RECURSO</w:t>
      </w:r>
    </w:p>
    <w:p>
      <w:pPr>
        <w:spacing w:line="360" w:lineRule="auto" w:after="120"/>
        <w:ind w:firstLine="708"/>
        <w:jc w:val="both"/>
      </w:pPr>
      <w:r>
        <w:rPr>
          <w:b w:val="0"/>
          <w:i w:val="0"/>
        </w:rPr>
        <w:t xml:space="preserve">Por se tratar de </w:t>
      </w:r>
      <w:r>
        <w:rPr>
          <w:b/>
          <w:i w:val="0"/>
        </w:rPr>
        <w:t>improcedência total</w:t>
      </w:r>
      <w:r>
        <w:rPr>
          <w:b w:val="0"/>
          <w:i w:val="0"/>
        </w:rPr>
        <w:t>, devolve-se à Turma a integralidade do mérito: (a) a prova de cada uma das três contratações, que sustenta a declaração de inexistência e a repetição em dobro; e (b) o dano moral. Impugnam-se, a seguir, todos os fundamentos da sentença (art. 42, Lei 9.099/95; art. 1.010, II e III, CPC), contrato a contrato.</w:t>
      </w:r>
    </w:p>
    <w:p>
      <w:pPr>
        <w:keepNext/>
        <w:spacing w:line="360" w:lineRule="auto" w:after="160" w:before="240"/>
        <w:jc w:val="left"/>
        <w:pBdr>
          <w:bottom w:val="single" w:sz="8" w:space="1" w:color="1F3864"/>
        </w:pBdr>
      </w:pPr>
      <w:r>
        <w:rPr>
          <w:b/>
          <w:color w:val="1F3864"/>
        </w:rPr>
        <w:t>IV — DAS RAZÕES DE REFORMA</w:t>
      </w:r>
    </w:p>
    <w:p>
      <w:pPr>
        <w:keepNext/>
        <w:spacing w:line="360" w:lineRule="auto" w:after="120" w:before="160"/>
        <w:jc w:val="left"/>
      </w:pPr>
      <w:r>
        <w:rPr>
          <w:b/>
          <w:color w:val="1F3864"/>
        </w:rPr>
        <w:t>IV.1 — DO ERRO NA DISTRIBUIÇÃO DO ÔNUS DA PROVA E DA INSUFICIÊNCIA DE "INDÍCIOS"</w:t>
      </w:r>
    </w:p>
    <w:p>
      <w:pPr>
        <w:spacing w:line="360" w:lineRule="auto" w:after="120"/>
        <w:ind w:firstLine="708"/>
        <w:jc w:val="both"/>
      </w:pPr>
      <w:r>
        <w:rPr>
          <w:b w:val="0"/>
          <w:i w:val="0"/>
        </w:rPr>
        <w:t>A sentença concluiu que "há indícios suficientes" da relação entre as partes. Indício não é prova da contratação. O ônus de comprovar a regularidade do contrato é do réu, por se tratar de fato impeditivo do direito da autora (art. 373, II, CPC), com ou sem inversão, e o recorrido assim o reconheceu: "da análise da documentação apresentada, em cumprimento ao art. 373, II do CPC, denota-se que todos os requisitos [...] foram estrita e expressamente cumpridos" (Id. 204392370, Pág. 110).</w:t>
      </w:r>
    </w:p>
    <w:p>
      <w:pPr>
        <w:spacing w:line="360" w:lineRule="auto" w:after="120"/>
        <w:ind w:firstLine="708"/>
        <w:jc w:val="both"/>
      </w:pPr>
      <w:r>
        <w:rPr>
          <w:b w:val="0"/>
          <w:i w:val="0"/>
        </w:rPr>
        <w:t xml:space="preserve">A responsabilidade da instituição financeira por fraude em operação bancária é objetiva (art. 14, CDC; Súmula 479/STJ). A recorrente, idosa, aposentada e pensionista, é hipossuficiente técnica e informacionalmente, e os registros capazes de demonstrar quem contratou (log de assinatura eletrônica, token, IP, aparelho, hash, relatório de biometria com score e prova de vivacidade, comprovante de saque da ordem de pagamento, extrato da conta de destino) estão sob domínio do banco (art. 6º, VIII, CDC; art. 373, § 1º, CPC). Exigir da autora a prova de que </w:t>
      </w:r>
      <w:r>
        <w:rPr>
          <w:b/>
          <w:i w:val="0"/>
        </w:rPr>
        <w:t>não</w:t>
      </w:r>
      <w:r>
        <w:rPr>
          <w:b w:val="0"/>
          <w:i w:val="0"/>
        </w:rPr>
        <w:t xml:space="preserve"> contratou é impor prova negativa e diabólica. A sentença exigiu da autora o que só o réu podia produzir e, diante da lacuna, supriu a falta de prova com "indícios".</w:t>
      </w:r>
    </w:p>
    <w:p>
      <w:pPr>
        <w:spacing w:line="360" w:lineRule="auto" w:after="120"/>
        <w:ind w:firstLine="708"/>
        <w:jc w:val="both"/>
      </w:pPr>
      <w:r>
        <w:rPr>
          <w:b w:val="0"/>
          <w:i w:val="0"/>
        </w:rPr>
        <w:t>A própria contestação reconhece a possibilidade de contratação por terceiros em nome da consumidora: "de posse de documento alheio, indivíduos de má-fé podem assinar documentos e assumir obrigações em nome de terceiros" (Id. 204392370, Pág. 115). Se é possível que terceiros assinem com documento alheio, a existência de assinatura ou de documentos pessoais da autora nos instrumentos não prova, por si só, a autoria. E, sendo a responsabilidade por fortuito interno (Súmula 479/STJ), a alegação de culpa de terceiro não exime o banco.</w:t>
      </w:r>
    </w:p>
    <w:p>
      <w:pPr>
        <w:spacing w:line="360" w:lineRule="auto" w:after="120"/>
        <w:ind w:firstLine="708"/>
        <w:jc w:val="both"/>
      </w:pPr>
      <w:r>
        <w:rPr>
          <w:b w:val="0"/>
          <w:i w:val="0"/>
        </w:rPr>
        <w:t xml:space="preserve">Os precedentes invocados pela sentença não socorrem a conclusão. O acórdão da Turma Recursal baiana (proc. 0001082-68.2021.8.05.0211) versou sobre "contrato assinado pela parte autora" com o ônus cumprido; o acórdão do TJ-RS (Recurso Cível 71001799089) tratou de "assinaturas coincidentes" e de "depósitos na conta do autor". No caso, não há análise de assinatura nem prova de depósito em conta da autora. Quanto à Súmula nº 10 da TUJ/BA, ela dispensa a exibição do instrumento contratual para provar a existência de relação de consumo; aqui o réu exibiu instrumentos, e a controvérsia é sobre </w:t>
      </w:r>
      <w:r>
        <w:rPr>
          <w:b/>
          <w:i w:val="0"/>
        </w:rPr>
        <w:t>autoria e consentimento</w:t>
      </w:r>
      <w:r>
        <w:rPr>
          <w:b w:val="0"/>
          <w:i w:val="0"/>
        </w:rPr>
        <w:t>, matéria que a súmula não resolve.</w:t>
      </w:r>
    </w:p>
    <w:p>
      <w:pPr>
        <w:keepNext/>
        <w:spacing w:line="360" w:lineRule="auto" w:after="120" w:before="160"/>
        <w:jc w:val="left"/>
      </w:pPr>
      <w:r>
        <w:rPr>
          <w:b/>
          <w:color w:val="1F3864"/>
        </w:rPr>
        <w:t>IV.2 — DO ERRO DE PREMISSA: "O CONTRATO EM TELA" E "ASSINATURA DIGITAL"</w:t>
      </w:r>
    </w:p>
    <w:p>
      <w:pPr>
        <w:spacing w:line="360" w:lineRule="auto" w:after="120"/>
        <w:ind w:firstLine="708"/>
        <w:jc w:val="both"/>
      </w:pPr>
      <w:r>
        <w:rPr>
          <w:b w:val="0"/>
          <w:i w:val="0"/>
        </w:rPr>
        <w:t>A sentença refere-se a um único contrato, firmado por "assinatura digital". São três contratos, de espécies distintas, e a premissa só vale para um:</w:t>
      </w:r>
    </w:p>
    <w:tbl>
      <w:tblPr>
        <w:tblStyle w:val="TableGrid"/>
        <w:tblW w:type="auto" w:w="0"/>
        <w:jc w:val="center"/>
        <w:tblLook w:firstColumn="1" w:firstRow="1" w:lastColumn="0" w:lastRow="0" w:noHBand="0" w:noVBand="1" w:val="04A0"/>
      </w:tblPr>
      <w:tblGrid>
        <w:gridCol w:w="3024"/>
        <w:gridCol w:w="3024"/>
        <w:gridCol w:w="3024"/>
      </w:tblGrid>
      <w:tr>
        <w:tc>
          <w:tcPr>
            <w:tcW w:type="dxa" w:w="2154"/>
            <w:shd w:val="clear" w:fill="D9E2F3"/>
          </w:tcPr>
          <w:p>
            <w:pPr>
              <w:spacing w:line="240" w:lineRule="auto" w:after="40"/>
            </w:pPr>
            <w:r/>
            <w:r>
              <w:rPr>
                <w:b/>
                <w:sz w:val="19"/>
              </w:rPr>
              <w:t>Contrato</w:t>
            </w:r>
          </w:p>
        </w:tc>
        <w:tc>
          <w:tcPr>
            <w:tcW w:type="dxa" w:w="5102"/>
            <w:shd w:val="clear" w:fill="D9E2F3"/>
          </w:tcPr>
          <w:p>
            <w:pPr>
              <w:spacing w:line="240" w:lineRule="auto" w:after="40"/>
            </w:pPr>
            <w:r/>
            <w:r>
              <w:rPr>
                <w:b/>
                <w:sz w:val="19"/>
              </w:rPr>
              <w:t>Natureza do instrumento juntado pelo réu</w:t>
            </w:r>
          </w:p>
        </w:tc>
        <w:tc>
          <w:tcPr>
            <w:tcW w:type="dxa" w:w="2268"/>
            <w:shd w:val="clear" w:fill="D9E2F3"/>
          </w:tcPr>
          <w:p>
            <w:pPr>
              <w:spacing w:line="240" w:lineRule="auto" w:after="40"/>
            </w:pPr>
            <w:r/>
            <w:r>
              <w:rPr>
                <w:b/>
                <w:sz w:val="19"/>
              </w:rPr>
              <w:t>Onde</w:t>
            </w:r>
          </w:p>
        </w:tc>
      </w:tr>
      <w:tr>
        <w:tc>
          <w:tcPr>
            <w:tcW w:type="dxa" w:w="2154"/>
          </w:tcPr>
          <w:p>
            <w:pPr>
              <w:spacing w:line="240" w:lineRule="auto" w:after="40"/>
            </w:pPr>
            <w:r/>
            <w:r>
              <w:rPr>
                <w:b w:val="0"/>
                <w:sz w:val="19"/>
              </w:rPr>
              <w:t>180957451 (06/12/2019)</w:t>
            </w:r>
          </w:p>
        </w:tc>
        <w:tc>
          <w:tcPr>
            <w:tcW w:type="dxa" w:w="5102"/>
          </w:tcPr>
          <w:p>
            <w:pPr>
              <w:spacing w:line="240" w:lineRule="auto" w:after="40"/>
            </w:pPr>
            <w:r/>
            <w:r>
              <w:rPr>
                <w:b w:val="0"/>
                <w:sz w:val="19"/>
              </w:rPr>
              <w:t>Contrato impresso e proposta em papel, esta com assinatura manuscrita e campo "Polegar Direito do Cliente" em branco; captação por correspondente (PROSPECTA AL)</w:t>
            </w:r>
          </w:p>
        </w:tc>
        <w:tc>
          <w:tcPr>
            <w:tcW w:type="dxa" w:w="2268"/>
          </w:tcPr>
          <w:p>
            <w:pPr>
              <w:spacing w:line="240" w:lineRule="auto" w:after="40"/>
            </w:pPr>
            <w:r/>
            <w:r>
              <w:rPr>
                <w:b w:val="0"/>
                <w:sz w:val="19"/>
              </w:rPr>
              <w:t>Id. 204392371, Págs. 118-121</w:t>
            </w:r>
          </w:p>
        </w:tc>
      </w:tr>
      <w:tr>
        <w:tc>
          <w:tcPr>
            <w:tcW w:type="dxa" w:w="2154"/>
          </w:tcPr>
          <w:p>
            <w:pPr>
              <w:spacing w:line="240" w:lineRule="auto" w:after="40"/>
            </w:pPr>
            <w:r/>
            <w:r>
              <w:rPr>
                <w:b w:val="0"/>
                <w:sz w:val="19"/>
              </w:rPr>
              <w:t>185097140 (24/01/2020)</w:t>
            </w:r>
          </w:p>
        </w:tc>
        <w:tc>
          <w:tcPr>
            <w:tcW w:type="dxa" w:w="5102"/>
          </w:tcPr>
          <w:p>
            <w:pPr>
              <w:spacing w:line="240" w:lineRule="auto" w:after="40"/>
            </w:pPr>
            <w:r/>
            <w:r>
              <w:rPr>
                <w:b w:val="0"/>
                <w:sz w:val="19"/>
              </w:rPr>
              <w:t>Contrato impresso e proposta em papel, esta com assinatura manuscrita e campo "Polegar Direito do Cliente" em branco; captação por correspondente (KONSI BA)</w:t>
            </w:r>
          </w:p>
        </w:tc>
        <w:tc>
          <w:tcPr>
            <w:tcW w:type="dxa" w:w="2268"/>
          </w:tcPr>
          <w:p>
            <w:pPr>
              <w:spacing w:line="240" w:lineRule="auto" w:after="40"/>
            </w:pPr>
            <w:r/>
            <w:r>
              <w:rPr>
                <w:b w:val="0"/>
                <w:sz w:val="19"/>
              </w:rPr>
              <w:t>Id. 204392372, Págs. 129-132</w:t>
            </w:r>
          </w:p>
        </w:tc>
      </w:tr>
      <w:tr>
        <w:tc>
          <w:tcPr>
            <w:tcW w:type="dxa" w:w="2154"/>
          </w:tcPr>
          <w:p>
            <w:pPr>
              <w:spacing w:line="240" w:lineRule="auto" w:after="40"/>
            </w:pPr>
            <w:r/>
            <w:r>
              <w:rPr>
                <w:b w:val="0"/>
                <w:sz w:val="19"/>
              </w:rPr>
              <w:t>204125174 (23/07/2020)</w:t>
            </w:r>
          </w:p>
        </w:tc>
        <w:tc>
          <w:tcPr>
            <w:tcW w:type="dxa" w:w="5102"/>
          </w:tcPr>
          <w:p>
            <w:pPr>
              <w:spacing w:line="240" w:lineRule="auto" w:after="40"/>
            </w:pPr>
            <w:r/>
            <w:r>
              <w:rPr>
                <w:b w:val="0"/>
                <w:sz w:val="19"/>
              </w:rPr>
              <w:t>Cédula de Crédito Bancário em meio eletrônico</w:t>
            </w:r>
          </w:p>
        </w:tc>
        <w:tc>
          <w:tcPr>
            <w:tcW w:type="dxa" w:w="2268"/>
          </w:tcPr>
          <w:p>
            <w:pPr>
              <w:spacing w:line="240" w:lineRule="auto" w:after="40"/>
            </w:pPr>
            <w:r/>
            <w:r>
              <w:rPr>
                <w:b w:val="0"/>
                <w:sz w:val="19"/>
              </w:rPr>
              <w:t>Id. 204392373, Págs. 136-140</w:t>
            </w:r>
          </w:p>
        </w:tc>
      </w:tr>
    </w:tbl>
    <w:p>
      <w:pPr>
        <w:spacing w:after="80"/>
      </w:pPr>
    </w:p>
    <w:p>
      <w:pPr>
        <w:spacing w:line="360" w:lineRule="auto" w:after="120"/>
        <w:ind w:firstLine="708"/>
        <w:jc w:val="both"/>
      </w:pPr>
      <w:r>
        <w:rPr>
          <w:b w:val="0"/>
          <w:i w:val="0"/>
        </w:rPr>
        <w:t>Quanto aos dois primeiros contratos, não há "assinatura digital", e a sentença não examinou a assinatura manuscrita, a rigor, sequer a mencionou. A recorrente nega, desde a inicial, ter firmado qualquer instrumento (Id. 202432171, Pág. 5). Cabia ao réu, que produziu o documento, demonstrar sua autenticidade (art. 429, II, CPC [VERIFICAR ANTES DE PROTOCOLAR]). Mas o próprio réu sustentou na contestação que a aferição da autenticidade da assinatura exige "perícia grafotécnica", "procedimento não abarcado pelo Juizado Especial" (Id. 204392370, Pág. 99). Se, na tese do réu, a autenticidade da assinatura não pode ser aferida no rito, o réu não se desincumbiu do ônus quanto ao documento que apresentou, e a dúvida não pode ser resolvida em seu favor por "indícios". A recorrente, por sua vez, não poderia requerer a prova que o rito veda (art. 35, IV, Lei 9.099/95).</w:t>
      </w:r>
    </w:p>
    <w:p>
      <w:pPr>
        <w:spacing w:line="360" w:lineRule="auto" w:after="120"/>
        <w:ind w:firstLine="708"/>
        <w:jc w:val="both"/>
      </w:pPr>
      <w:r>
        <w:rPr>
          <w:b w:val="0"/>
          <w:i w:val="0"/>
        </w:rPr>
        <w:t>Registre-se, por fim, que o réu não trouxe, em nenhum dos dois instrumentos em papel, o que normalmente se esperaria de contratação presencial regular: identificação do correspondente que colheu a assinatura com o ato registrado, confirmação posterior por canal da consumidora (SMS, e-mail ou ligação) com comprovação de que o canal era da consumidora e de que houve resposta, ou prova do recebimento do crédito pela consumidora. Os canais de contato que constam dos instrumentos, como se verá, não são os dela.</w:t>
      </w:r>
    </w:p>
    <w:p>
      <w:pPr>
        <w:keepNext/>
        <w:spacing w:line="360" w:lineRule="auto" w:after="120" w:before="160"/>
        <w:jc w:val="left"/>
      </w:pPr>
      <w:r>
        <w:rPr>
          <w:b/>
          <w:color w:val="1F3864"/>
        </w:rPr>
        <w:t>IV.3 — CONTRATO A CONTRATO: IMPUGNAÇÃO ESPECÍFICA DOS DOCUMENTOS DO RÉU</w:t>
      </w:r>
    </w:p>
    <w:p>
      <w:pPr>
        <w:spacing w:line="360" w:lineRule="auto" w:after="120"/>
        <w:ind w:firstLine="708"/>
        <w:jc w:val="both"/>
      </w:pPr>
      <w:r>
        <w:rPr>
          <w:b w:val="0"/>
          <w:i w:val="0"/>
        </w:rPr>
        <w:t>A matéria é reexame de prova documental já constante dos autos, integralmente devolvida à Turma (art. 1.013, §§ 1º e 2º, CPC). Passa-se à análise de cada contrato, partindo do que a sentença deu por provado: a "transferência destinada a conta corrente de titularidade da parte demandante".</w:t>
      </w:r>
    </w:p>
    <w:p>
      <w:pPr>
        <w:keepNext/>
        <w:spacing w:line="360" w:lineRule="auto" w:after="120" w:before="160"/>
        <w:jc w:val="left"/>
      </w:pPr>
      <w:r>
        <w:rPr>
          <w:b/>
          <w:color w:val="1F3864"/>
        </w:rPr>
        <w:t>IV.3.A — CONTRATO Nº 185097140: NÃO HÁ COMPROVANTE DE TED NEM CONTA DE DESTINO IDENTIFICADA</w:t>
      </w:r>
    </w:p>
    <w:p>
      <w:pPr>
        <w:spacing w:line="360" w:lineRule="auto" w:after="120"/>
        <w:ind w:firstLine="708"/>
        <w:jc w:val="both"/>
      </w:pPr>
      <w:r>
        <w:rPr>
          <w:b w:val="0"/>
          <w:i w:val="0"/>
        </w:rPr>
        <w:t>Quanto a este contrato, a sentença é inconciliável com os próprios documentos do réu:</w:t>
      </w:r>
    </w:p>
    <w:p>
      <w:pPr>
        <w:spacing w:line="360" w:lineRule="auto" w:after="120"/>
        <w:ind w:left="708" w:hanging="340"/>
        <w:jc w:val="both"/>
      </w:pPr>
      <w:r>
        <w:rPr>
          <w:b w:val="0"/>
        </w:rPr>
        <w:t xml:space="preserve">– a tela do sistema do réu informa, para o crédito de R$ 424,20, "Banco 104 — Caixa Econômica Federal", "Agência 3617 — Nova Cajazeiras", "Tipo conta: Poupança", e </w:t>
      </w:r>
      <w:r>
        <w:rPr>
          <w:b/>
        </w:rPr>
        <w:t>"CONTA: Nenhum registro encontrado"</w:t>
      </w:r>
      <w:r>
        <w:rPr>
          <w:b w:val="0"/>
        </w:rPr>
        <w:t xml:space="preserve"> (Id. 204392372, Pág. 135); a outra tela do mesmo sistema registra "C/C Lib. Cliente: </w:t>
      </w:r>
      <w:r>
        <w:rPr>
          <w:b/>
        </w:rPr>
        <w:t>0000000000-0</w:t>
      </w:r>
      <w:r>
        <w:rPr>
          <w:b w:val="0"/>
        </w:rPr>
        <w:t>" (Id. 204392372, Pág. 133). Não há número de conta;</w:t>
      </w:r>
    </w:p>
    <w:p>
      <w:pPr>
        <w:spacing w:line="360" w:lineRule="auto" w:after="120"/>
        <w:ind w:left="708" w:hanging="340"/>
        <w:jc w:val="both"/>
      </w:pPr>
      <w:r>
        <w:rPr>
          <w:b w:val="0"/>
        </w:rPr>
        <w:t>– o contrato e a proposta deixam o campo da conta em branco ("Conta: O.P.", sem número) (Id. 204392372, Págs. 129 e 131);</w:t>
      </w:r>
    </w:p>
    <w:p>
      <w:pPr>
        <w:spacing w:line="360" w:lineRule="auto" w:after="120"/>
        <w:ind w:left="708" w:hanging="340"/>
        <w:jc w:val="both"/>
      </w:pPr>
      <w:r>
        <w:rPr>
          <w:b w:val="0"/>
        </w:rPr>
        <w:t xml:space="preserve">– o status do contrato é "PAGO VIA OP" (ordem de pagamento). Segundo a própria contestação, a ordem "só pode ser paga ao destinatário do empréstimo, munido de seus documentos de identificação" (Id. 204392370, Págs. 104-105); </w:t>
      </w:r>
      <w:r>
        <w:rPr>
          <w:b/>
        </w:rPr>
        <w:t>mas não há nos autos comprovante de saque nem de recebimento da ordem</w:t>
      </w:r>
      <w:r>
        <w:rPr>
          <w:b w:val="0"/>
        </w:rPr>
        <w:t>;</w:t>
      </w:r>
    </w:p>
    <w:p>
      <w:pPr>
        <w:spacing w:line="360" w:lineRule="auto" w:after="120"/>
        <w:ind w:left="708" w:hanging="340"/>
        <w:jc w:val="both"/>
      </w:pPr>
      <w:r>
        <w:rPr>
          <w:b w:val="0"/>
        </w:rPr>
        <w:t xml:space="preserve">– ao contrário dos demais contratos, </w:t>
      </w:r>
      <w:r>
        <w:rPr>
          <w:b/>
        </w:rPr>
        <w:t>não foi juntado comprovante de TED</w:t>
      </w:r>
      <w:r>
        <w:rPr>
          <w:b w:val="0"/>
        </w:rPr>
        <w:t xml:space="preserve"> para o contrato 185097140: o réu limitou-se a telas internas, produzidas em 17/08/2026, após a citação;</w:t>
      </w:r>
    </w:p>
    <w:p>
      <w:pPr>
        <w:spacing w:line="360" w:lineRule="auto" w:after="120"/>
        <w:ind w:left="708" w:hanging="340"/>
        <w:jc w:val="both"/>
      </w:pPr>
      <w:r>
        <w:rPr>
          <w:b w:val="0"/>
        </w:rPr>
        <w:t>– o réu admitiu a lacuna ao requerer, na contestação e em audiência, a expedição de ofício à Caixa (agência 3617) "para que disponibilize o comprovante de recebimento da ordem de pagamento, referente ao crédito acima mencionado" (Id. 204392370, Pág. 105; Id. 204602216, Pág. 203).</w:t>
      </w:r>
    </w:p>
    <w:p>
      <w:pPr>
        <w:spacing w:line="360" w:lineRule="auto" w:after="120"/>
        <w:ind w:firstLine="708"/>
        <w:jc w:val="both"/>
      </w:pPr>
      <w:r>
        <w:rPr>
          <w:b w:val="0"/>
          <w:i w:val="0"/>
        </w:rPr>
        <w:t xml:space="preserve">Logo, quanto a este contrato </w:t>
      </w:r>
      <w:r>
        <w:rPr>
          <w:b/>
          <w:i w:val="0"/>
        </w:rPr>
        <w:t>não existe nos autos TED para conta de titularidade da autora</w:t>
      </w:r>
      <w:r>
        <w:rPr>
          <w:b w:val="0"/>
          <w:i w:val="0"/>
        </w:rPr>
        <w:t>, e a premissa central da sentença ("comprovante de transferência destinada a conta corrente de titularidade da parte demandante") é falsa. Sem prova da disponibilização do crédito, e sem prova de autoria, o contrato não pode ser tido por existente. Há, ainda, o fato de que os dados cadastrais deste instrumento são estranhos à recorrente (item IV.3.d).</w:t>
      </w:r>
    </w:p>
    <w:p>
      <w:pPr>
        <w:keepNext/>
        <w:spacing w:line="360" w:lineRule="auto" w:after="120" w:before="160"/>
        <w:jc w:val="left"/>
      </w:pPr>
      <w:r>
        <w:rPr>
          <w:b/>
          <w:color w:val="1F3864"/>
        </w:rPr>
        <w:t>IV.3.B — CONTRATO Nº 180957451: INSTRUMENTO EM PAPEL, DADOS DIVERGENTES, TITULARIDADE DA CONTA NÃO COMPROVADA</w:t>
      </w:r>
    </w:p>
    <w:p>
      <w:pPr>
        <w:spacing w:line="360" w:lineRule="auto" w:after="120"/>
        <w:ind w:firstLine="708"/>
        <w:jc w:val="both"/>
      </w:pPr>
      <w:r>
        <w:rPr>
          <w:b w:val="0"/>
          <w:i w:val="0"/>
        </w:rPr>
        <w:t>A sentença não examinou o instrumento. Os documentos do réu revelam:</w:t>
      </w:r>
    </w:p>
    <w:p>
      <w:pPr>
        <w:spacing w:line="360" w:lineRule="auto" w:after="120"/>
        <w:ind w:left="708" w:hanging="340"/>
        <w:jc w:val="both"/>
      </w:pPr>
      <w:r>
        <w:rPr>
          <w:b w:val="0"/>
        </w:rPr>
        <w:t xml:space="preserve">– </w:t>
      </w:r>
      <w:r>
        <w:rPr>
          <w:b/>
        </w:rPr>
        <w:t>Estado civil "SOLTEIRO"</w:t>
      </w:r>
      <w:r>
        <w:rPr>
          <w:b w:val="0"/>
        </w:rPr>
        <w:t xml:space="preserve"> (Id. 204392371, Pág. 118), quando a recorrente é viúva (inicial, Id. 202432171, Pág. 1);</w:t>
      </w:r>
    </w:p>
    <w:p>
      <w:pPr>
        <w:spacing w:line="360" w:lineRule="auto" w:after="120"/>
        <w:ind w:left="708" w:hanging="340"/>
        <w:jc w:val="both"/>
      </w:pPr>
      <w:r>
        <w:rPr>
          <w:b w:val="0"/>
        </w:rPr>
        <w:t xml:space="preserve">– </w:t>
      </w:r>
      <w:r>
        <w:rPr>
          <w:b/>
        </w:rPr>
        <w:t>endereço "Rua 32, Quadra E, 13, Casa", CEP 41342-050</w:t>
      </w:r>
      <w:r>
        <w:rPr>
          <w:b w:val="0"/>
        </w:rPr>
        <w:t>, diverso do endereço da recorrente e do constante do comprovante de residência que o próprio réu juntou (Rua Engenheiro Eunápio Peltier de Queiroz, 13, CEP 41342-035; Id. 204392371, Pág. 123);</w:t>
      </w:r>
    </w:p>
    <w:p>
      <w:pPr>
        <w:spacing w:line="360" w:lineRule="auto" w:after="120"/>
        <w:ind w:left="708" w:hanging="340"/>
        <w:jc w:val="both"/>
      </w:pPr>
      <w:r>
        <w:rPr>
          <w:b w:val="0"/>
        </w:rPr>
        <w:t xml:space="preserve">– </w:t>
      </w:r>
      <w:r>
        <w:rPr>
          <w:b/>
        </w:rPr>
        <w:t>dois celulares distintos no mesmo conjunto</w:t>
      </w:r>
      <w:r>
        <w:rPr>
          <w:b w:val="0"/>
        </w:rPr>
        <w:t>: (71) 99262-1008 no contrato e (71) 99414-6449 na proposta (Id. 204392371, Págs. 118 e 120), além de e-mail "GIDIA.PREMIUM@HOTMAIL.COM", que coincide com o prenome da atendente do correspondente que colheu a contratação, "GIDIA CARLA ALVES DA SILV" (Id. 204392371, Pág. 118), e não se vincula à recorrente, que informou não possuir e-mail (inicial);</w:t>
      </w:r>
    </w:p>
    <w:p>
      <w:pPr>
        <w:spacing w:line="360" w:lineRule="auto" w:after="120"/>
        <w:ind w:left="708" w:hanging="340"/>
        <w:jc w:val="both"/>
      </w:pPr>
      <w:r>
        <w:rPr>
          <w:b w:val="0"/>
        </w:rPr>
        <w:t xml:space="preserve">– a proposta, datada de 27/11/2019, solicita </w:t>
      </w:r>
      <w:r>
        <w:rPr>
          <w:b/>
        </w:rPr>
        <w:t>R$ 1.865,14</w:t>
      </w:r>
      <w:r>
        <w:rPr>
          <w:b w:val="0"/>
        </w:rPr>
        <w:t>, ao passo que o contrato de 06/12/2019 financia R$ 8.139,58, refinancia R$ 6.185,19 e libera R$ 1.895,88 (Id. 204392371, Págs. 118 e 120); a quitação do contrato anterior (nº 128738344) alegada na contestação não está comprovada por qualquer documento de liquidação;</w:t>
      </w:r>
    </w:p>
    <w:p>
      <w:pPr>
        <w:spacing w:line="360" w:lineRule="auto" w:after="120"/>
        <w:ind w:left="708" w:hanging="340"/>
        <w:jc w:val="both"/>
      </w:pPr>
      <w:r>
        <w:rPr>
          <w:b w:val="0"/>
        </w:rPr>
        <w:t xml:space="preserve">– o TED de R$ 1.895,88 foi creditado em "CC 64622", agência 4096, e o réu </w:t>
      </w:r>
      <w:r>
        <w:rPr>
          <w:b/>
        </w:rPr>
        <w:t>não juntou extrato nem prova de titularidade, uso ou saque</w:t>
      </w:r>
      <w:r>
        <w:rPr>
          <w:b w:val="0"/>
        </w:rPr>
        <w:t>; tanto assim que requereu ofício à Caixa "para que informe sobre a titularidade da conta de nº 64622" (Id. 204602216, Pág. 202; Id. 204392370, Pág. 110). A sentença, porém, afirmou ser "conta corrente de titularidade da parte demandante" o que o próprio réu disse não saber.</w:t>
      </w:r>
    </w:p>
    <w:p>
      <w:pPr>
        <w:keepNext/>
        <w:spacing w:line="360" w:lineRule="auto" w:after="120" w:before="160"/>
        <w:jc w:val="left"/>
      </w:pPr>
      <w:r>
        <w:rPr>
          <w:b/>
          <w:color w:val="1F3864"/>
        </w:rPr>
        <w:t>IV.3.C — CONTRATO Nº 204125174: CCB ELETRÔNICA SEM A TRILHA DE AUTENTICAÇÃO ALEGADA</w:t>
      </w:r>
    </w:p>
    <w:p>
      <w:pPr>
        <w:spacing w:line="360" w:lineRule="auto" w:after="120"/>
        <w:ind w:firstLine="708"/>
        <w:jc w:val="both"/>
      </w:pPr>
      <w:r>
        <w:rPr>
          <w:b w:val="0"/>
          <w:i w:val="0"/>
        </w:rPr>
        <w:t xml:space="preserve">Este é o único instrumento eletrônico, e para ele a contestação descreve um sistema de biometria facial, validação por token e resposta "SIM" por SMS (Id. 204392370, Págs. 106-109). </w:t>
      </w:r>
      <w:r>
        <w:rPr>
          <w:b/>
          <w:i w:val="0"/>
        </w:rPr>
        <w:t>Nada disso está nos autos:</w:t>
      </w:r>
    </w:p>
    <w:p>
      <w:pPr>
        <w:spacing w:line="360" w:lineRule="auto" w:after="120"/>
        <w:ind w:left="708" w:hanging="340"/>
        <w:jc w:val="both"/>
      </w:pPr>
      <w:r>
        <w:rPr>
          <w:b w:val="0"/>
        </w:rPr>
        <w:t>– não há registro do SMS, do token ou da resposta "SIM" a que a contestação alude ("conforme documentação em anexo, podemos ver que a autora respondeu SIM"); o que há, como único elemento de "autenticação", é um identificador numérico no rodapé das páginas (Id. 204392373, Págs. 136-140);</w:t>
      </w:r>
    </w:p>
    <w:p>
      <w:pPr>
        <w:spacing w:line="360" w:lineRule="auto" w:after="120"/>
        <w:ind w:left="708" w:hanging="340"/>
        <w:jc w:val="both"/>
      </w:pPr>
      <w:r>
        <w:rPr>
          <w:b w:val="0"/>
        </w:rPr>
        <w:t>– não há relatório de reconhecimento facial, score, prova de vivacidade, IP, aparelho, hash nem geolocalização. Há apenas uma fotografia de pessoa segurando um documento de identidade (Id. 204392373, Pág. 142) e a imagem do RG (Pág. 143), sem data, hora ou metadados que as vinculem ao ato de 23/07/2020; fotografia isolada prova que um rosto foi fotografado, não que a titular solicitou o crédito;</w:t>
      </w:r>
    </w:p>
    <w:p>
      <w:pPr>
        <w:spacing w:line="360" w:lineRule="auto" w:after="120"/>
        <w:ind w:left="708" w:hanging="340"/>
        <w:jc w:val="both"/>
      </w:pPr>
      <w:r>
        <w:rPr>
          <w:b w:val="0"/>
        </w:rPr>
        <w:t>– o e-mail do resumo (admandreia12@hotmail.com) e o celular ((71) 99414-6449) não são os da recorrente (Id. 204392373, Pág. 139);</w:t>
      </w:r>
    </w:p>
    <w:p>
      <w:pPr>
        <w:spacing w:line="360" w:lineRule="auto" w:after="120"/>
        <w:ind w:left="708" w:hanging="340"/>
        <w:jc w:val="both"/>
      </w:pPr>
      <w:r>
        <w:rPr>
          <w:b w:val="0"/>
        </w:rPr>
        <w:t xml:space="preserve">– o resumo informa valor liberado de </w:t>
      </w:r>
      <w:r>
        <w:rPr>
          <w:b/>
        </w:rPr>
        <w:t>R$ 346,08</w:t>
      </w:r>
      <w:r>
        <w:rPr>
          <w:b w:val="0"/>
        </w:rPr>
        <w:t xml:space="preserve">, mas a contestação e o comprovante de TED falam em </w:t>
      </w:r>
      <w:r>
        <w:rPr>
          <w:b/>
        </w:rPr>
        <w:t>R$ 355,69</w:t>
      </w:r>
      <w:r>
        <w:rPr>
          <w:b w:val="0"/>
        </w:rPr>
        <w:t xml:space="preserve"> (Id. 204392373, Págs. 139 e 148; Id. 204392370, Pág. 106); o TED foi para conta tipo "PP" (poupança) nº 13000064622, ao passo que o contrato indica a conta "00006462-2" sem identificar a modalidade (Id. 204392373, Págs. 136 e 148); e a contestação afirma que o crédito foi para a conta "6462-2" (Id. 204392370, Pág. 109), quando o TED aponta outra numeração e outro tipo de conta;</w:t>
      </w:r>
    </w:p>
    <w:p>
      <w:pPr>
        <w:spacing w:line="360" w:lineRule="auto" w:after="120"/>
        <w:ind w:left="708" w:hanging="340"/>
        <w:jc w:val="both"/>
      </w:pPr>
      <w:r>
        <w:rPr>
          <w:b w:val="0"/>
        </w:rPr>
        <w:t>– também aqui o réu admitiu que não prova titularidade nem recebimento, ao requerer ofício à Caixa "sobre o crédito mencionado nos autos" (Id. 204602216, Pág. 202).</w:t>
      </w:r>
    </w:p>
    <w:p>
      <w:pPr>
        <w:keepNext/>
        <w:spacing w:line="360" w:lineRule="auto" w:after="120" w:before="160"/>
        <w:jc w:val="left"/>
      </w:pPr>
      <w:r>
        <w:rPr>
          <w:b/>
          <w:color w:val="1F3864"/>
        </w:rPr>
        <w:t>IV.3.D — ELEMENTOS COMUNS AOS TRÊS CONTRATOS</w:t>
      </w:r>
    </w:p>
    <w:p>
      <w:pPr>
        <w:spacing w:line="360" w:lineRule="auto" w:after="120"/>
        <w:ind w:firstLine="708"/>
        <w:jc w:val="both"/>
      </w:pPr>
      <w:r>
        <w:rPr>
          <w:b/>
          <w:i w:val="0"/>
        </w:rPr>
        <w:t>(i) Canais de contato e dados cadastrais que não são os da recorrente.</w:t>
      </w:r>
      <w:r>
        <w:rPr>
          <w:b w:val="0"/>
          <w:i w:val="0"/>
        </w:rPr>
        <w:t xml:space="preserve"> Os documentos do réu utilizam, nos três contratos, e-mails e telefones sem vínculo comprovado com a recorrente, e dados cadastrais diversos dos reais: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474"/>
            <w:shd w:val="clear" w:fill="D9E2F3"/>
          </w:tcPr>
          <w:p>
            <w:pPr>
              <w:spacing w:line="240" w:lineRule="auto" w:after="40"/>
            </w:pPr>
            <w:r/>
            <w:r>
              <w:rPr>
                <w:b/>
                <w:sz w:val="18"/>
              </w:rPr>
              <w:t>Dado</w:t>
            </w:r>
          </w:p>
        </w:tc>
        <w:tc>
          <w:tcPr>
            <w:tcW w:type="dxa" w:w="2608"/>
            <w:shd w:val="clear" w:fill="D9E2F3"/>
          </w:tcPr>
          <w:p>
            <w:pPr>
              <w:spacing w:line="240" w:lineRule="auto" w:after="40"/>
            </w:pPr>
            <w:r/>
            <w:r>
              <w:rPr>
                <w:b/>
                <w:sz w:val="18"/>
              </w:rPr>
              <w:t>180957451 (06/12/2019)</w:t>
            </w:r>
          </w:p>
        </w:tc>
        <w:tc>
          <w:tcPr>
            <w:tcW w:type="dxa" w:w="2608"/>
            <w:shd w:val="clear" w:fill="D9E2F3"/>
          </w:tcPr>
          <w:p>
            <w:pPr>
              <w:spacing w:line="240" w:lineRule="auto" w:after="40"/>
            </w:pPr>
            <w:r/>
            <w:r>
              <w:rPr>
                <w:b/>
                <w:sz w:val="18"/>
              </w:rPr>
              <w:t>185097140 (24/01/2020)</w:t>
            </w:r>
          </w:p>
        </w:tc>
        <w:tc>
          <w:tcPr>
            <w:tcW w:type="dxa" w:w="2835"/>
            <w:shd w:val="clear" w:fill="D9E2F3"/>
          </w:tcPr>
          <w:p>
            <w:pPr>
              <w:spacing w:line="240" w:lineRule="auto" w:after="40"/>
            </w:pPr>
            <w:r/>
            <w:r>
              <w:rPr>
                <w:b/>
                <w:sz w:val="18"/>
              </w:rPr>
              <w:t>204125174 (23/07/2020)</w:t>
            </w:r>
          </w:p>
        </w:tc>
      </w:tr>
      <w:tr>
        <w:tc>
          <w:tcPr>
            <w:tcW w:type="dxa" w:w="1474"/>
          </w:tcPr>
          <w:p>
            <w:pPr>
              <w:spacing w:line="240" w:lineRule="auto" w:after="40"/>
            </w:pPr>
            <w:r/>
            <w:r>
              <w:rPr>
                <w:b w:val="0"/>
                <w:sz w:val="18"/>
              </w:rPr>
              <w:t>E-mail</w:t>
            </w:r>
          </w:p>
        </w:tc>
        <w:tc>
          <w:tcPr>
            <w:tcW w:type="dxa" w:w="2608"/>
          </w:tcPr>
          <w:p>
            <w:pPr>
              <w:spacing w:line="240" w:lineRule="auto" w:after="40"/>
            </w:pPr>
            <w:r/>
            <w:r>
              <w:rPr>
                <w:b w:val="0"/>
                <w:sz w:val="18"/>
              </w:rPr>
              <w:t>GIDIA.PREMIUM@HOTMAIL.COM (Id. 204392371, Pág. 118)</w:t>
            </w:r>
          </w:p>
        </w:tc>
        <w:tc>
          <w:tcPr>
            <w:tcW w:type="dxa" w:w="2608"/>
          </w:tcPr>
          <w:p>
            <w:pPr>
              <w:spacing w:line="240" w:lineRule="auto" w:after="40"/>
            </w:pPr>
            <w:r/>
            <w:r>
              <w:rPr>
                <w:b w:val="0"/>
                <w:sz w:val="18"/>
              </w:rPr>
              <w:t>GIDIA.PREMUM@HOTMAIL.COM (Id. 204392372, Pág. 129)</w:t>
            </w:r>
          </w:p>
        </w:tc>
        <w:tc>
          <w:tcPr>
            <w:tcW w:type="dxa" w:w="2835"/>
          </w:tcPr>
          <w:p>
            <w:pPr>
              <w:spacing w:line="240" w:lineRule="auto" w:after="40"/>
            </w:pPr>
            <w:r/>
            <w:r>
              <w:rPr>
                <w:b w:val="0"/>
                <w:sz w:val="18"/>
              </w:rPr>
              <w:t>admandreia12@hotmail.com (Id. 204392373, Pág. 139)</w:t>
            </w:r>
          </w:p>
        </w:tc>
      </w:tr>
      <w:tr>
        <w:tc>
          <w:tcPr>
            <w:tcW w:type="dxa" w:w="1474"/>
          </w:tcPr>
          <w:p>
            <w:pPr>
              <w:spacing w:line="240" w:lineRule="auto" w:after="40"/>
            </w:pPr>
            <w:r/>
            <w:r>
              <w:rPr>
                <w:b w:val="0"/>
                <w:sz w:val="18"/>
              </w:rPr>
              <w:t>Celular</w:t>
            </w:r>
          </w:p>
        </w:tc>
        <w:tc>
          <w:tcPr>
            <w:tcW w:type="dxa" w:w="2608"/>
          </w:tcPr>
          <w:p>
            <w:pPr>
              <w:spacing w:line="240" w:lineRule="auto" w:after="40"/>
            </w:pPr>
            <w:r/>
            <w:r>
              <w:rPr>
                <w:b w:val="0"/>
                <w:sz w:val="18"/>
              </w:rPr>
              <w:t>(71) 99262-1008 (contrato); (71) 99414-6449 (proposta)</w:t>
            </w:r>
          </w:p>
        </w:tc>
        <w:tc>
          <w:tcPr>
            <w:tcW w:type="dxa" w:w="2608"/>
          </w:tcPr>
          <w:p>
            <w:pPr>
              <w:spacing w:line="240" w:lineRule="auto" w:after="40"/>
            </w:pPr>
            <w:r/>
            <w:r>
              <w:rPr>
                <w:b w:val="0"/>
                <w:sz w:val="18"/>
              </w:rPr>
              <w:t>(71) 99262-1008 (contrato); (71) 99414-6449 (proposta)</w:t>
            </w:r>
          </w:p>
        </w:tc>
        <w:tc>
          <w:tcPr>
            <w:tcW w:type="dxa" w:w="2835"/>
          </w:tcPr>
          <w:p>
            <w:pPr>
              <w:spacing w:line="240" w:lineRule="auto" w:after="40"/>
            </w:pPr>
            <w:r/>
            <w:r>
              <w:rPr>
                <w:b w:val="0"/>
                <w:sz w:val="18"/>
              </w:rPr>
              <w:t>(71) 99414-6449</w:t>
            </w:r>
          </w:p>
        </w:tc>
      </w:tr>
      <w:tr>
        <w:tc>
          <w:tcPr>
            <w:tcW w:type="dxa" w:w="1474"/>
          </w:tcPr>
          <w:p>
            <w:pPr>
              <w:spacing w:line="240" w:lineRule="auto" w:after="40"/>
            </w:pPr>
            <w:r/>
            <w:r>
              <w:rPr>
                <w:b w:val="0"/>
                <w:sz w:val="18"/>
              </w:rPr>
              <w:t>Estado civil</w:t>
            </w:r>
          </w:p>
        </w:tc>
        <w:tc>
          <w:tcPr>
            <w:tcW w:type="dxa" w:w="2608"/>
          </w:tcPr>
          <w:p>
            <w:pPr>
              <w:spacing w:line="240" w:lineRule="auto" w:after="40"/>
            </w:pPr>
            <w:r/>
            <w:r>
              <w:rPr>
                <w:b w:val="0"/>
                <w:sz w:val="18"/>
              </w:rPr>
              <w:t>Solteiro</w:t>
            </w:r>
          </w:p>
        </w:tc>
        <w:tc>
          <w:tcPr>
            <w:tcW w:type="dxa" w:w="2608"/>
          </w:tcPr>
          <w:p>
            <w:pPr>
              <w:spacing w:line="240" w:lineRule="auto" w:after="40"/>
            </w:pPr>
            <w:r/>
            <w:r>
              <w:rPr>
                <w:b w:val="0"/>
                <w:sz w:val="18"/>
              </w:rPr>
              <w:t>Solteiro</w:t>
            </w:r>
          </w:p>
        </w:tc>
        <w:tc>
          <w:tcPr>
            <w:tcW w:type="dxa" w:w="2835"/>
          </w:tcPr>
          <w:p>
            <w:pPr>
              <w:spacing w:line="240" w:lineRule="auto" w:after="40"/>
            </w:pPr>
            <w:r/>
            <w:r>
              <w:rPr>
                <w:b w:val="0"/>
                <w:sz w:val="18"/>
              </w:rPr>
              <w:t>—</w:t>
            </w:r>
          </w:p>
        </w:tc>
      </w:tr>
      <w:tr>
        <w:tc>
          <w:tcPr>
            <w:tcW w:type="dxa" w:w="1474"/>
          </w:tcPr>
          <w:p>
            <w:pPr>
              <w:spacing w:line="240" w:lineRule="auto" w:after="40"/>
            </w:pPr>
            <w:r/>
            <w:r>
              <w:rPr>
                <w:b w:val="0"/>
                <w:sz w:val="18"/>
              </w:rPr>
              <w:t>Endereço</w:t>
            </w:r>
          </w:p>
        </w:tc>
        <w:tc>
          <w:tcPr>
            <w:tcW w:type="dxa" w:w="2608"/>
          </w:tcPr>
          <w:p>
            <w:pPr>
              <w:spacing w:line="240" w:lineRule="auto" w:after="40"/>
            </w:pPr>
            <w:r/>
            <w:r>
              <w:rPr>
                <w:b w:val="0"/>
                <w:sz w:val="18"/>
              </w:rPr>
              <w:t>Rua 32, Quadra E, 13, CEP 41342-050</w:t>
            </w:r>
          </w:p>
        </w:tc>
        <w:tc>
          <w:tcPr>
            <w:tcW w:type="dxa" w:w="2608"/>
          </w:tcPr>
          <w:p>
            <w:pPr>
              <w:spacing w:line="240" w:lineRule="auto" w:after="40"/>
            </w:pPr>
            <w:r/>
            <w:r>
              <w:rPr>
                <w:b w:val="0"/>
                <w:sz w:val="18"/>
              </w:rPr>
              <w:t>Rua 32, Quadra E, 32, CEP 41342-050</w:t>
            </w:r>
          </w:p>
        </w:tc>
        <w:tc>
          <w:tcPr>
            <w:tcW w:type="dxa" w:w="2835"/>
          </w:tcPr>
          <w:p>
            <w:pPr>
              <w:spacing w:line="240" w:lineRule="auto" w:after="40"/>
            </w:pPr>
            <w:r/>
            <w:r>
              <w:rPr>
                <w:b w:val="0"/>
                <w:sz w:val="18"/>
              </w:rPr>
              <w:t>Rua Eng. Eunápio Peltier de Queiroz, 13, CEP 41342-035</w:t>
            </w:r>
          </w:p>
        </w:tc>
      </w:tr>
      <w:tr>
        <w:tc>
          <w:tcPr>
            <w:tcW w:type="dxa" w:w="1474"/>
          </w:tcPr>
          <w:p>
            <w:pPr>
              <w:spacing w:line="240" w:lineRule="auto" w:after="40"/>
            </w:pPr>
            <w:r/>
            <w:r>
              <w:rPr>
                <w:b w:val="0"/>
                <w:sz w:val="18"/>
              </w:rPr>
              <w:t>Correspondente / atendente</w:t>
            </w:r>
          </w:p>
        </w:tc>
        <w:tc>
          <w:tcPr>
            <w:tcW w:type="dxa" w:w="2608"/>
          </w:tcPr>
          <w:p>
            <w:pPr>
              <w:spacing w:line="240" w:lineRule="auto" w:after="40"/>
            </w:pPr>
            <w:r/>
            <w:r>
              <w:rPr>
                <w:b w:val="0"/>
                <w:sz w:val="18"/>
              </w:rPr>
              <w:t>PROSPECTA AL (Barueri/SP) / Gidia Carla Alves da Silva</w:t>
            </w:r>
          </w:p>
        </w:tc>
        <w:tc>
          <w:tcPr>
            <w:tcW w:type="dxa" w:w="2608"/>
          </w:tcPr>
          <w:p>
            <w:pPr>
              <w:spacing w:line="240" w:lineRule="auto" w:after="40"/>
            </w:pPr>
            <w:r/>
            <w:r>
              <w:rPr>
                <w:b w:val="0"/>
                <w:sz w:val="18"/>
              </w:rPr>
              <w:t>KONSI BA (Salvador) / Cândida Maria G. de Sousa</w:t>
            </w:r>
          </w:p>
        </w:tc>
        <w:tc>
          <w:tcPr>
            <w:tcW w:type="dxa" w:w="2835"/>
          </w:tcPr>
          <w:p>
            <w:pPr>
              <w:spacing w:line="240" w:lineRule="auto" w:after="40"/>
            </w:pPr>
            <w:r/>
            <w:r>
              <w:rPr>
                <w:b w:val="0"/>
                <w:sz w:val="18"/>
              </w:rPr>
              <w:t>não identificado</w:t>
            </w:r>
          </w:p>
        </w:tc>
      </w:tr>
    </w:tbl>
    <w:p>
      <w:pPr>
        <w:spacing w:after="80"/>
      </w:pPr>
    </w:p>
    <w:p>
      <w:pPr>
        <w:spacing w:line="360" w:lineRule="auto" w:after="120"/>
        <w:ind w:firstLine="708"/>
        <w:jc w:val="both"/>
      </w:pPr>
      <w:r>
        <w:rPr>
          <w:b w:val="0"/>
          <w:i w:val="0"/>
        </w:rPr>
        <w:t>Telefone e e-mail são os canais por onde, segundo o próprio réu, transitam o aceite, o SMS e a confirmação. Se o réu não prova que pertencem à titular, não há como supor que ela tenha recebido ou aceitado qualquer proposta. A sentença não enfrentou nenhuma dessas divergências, que o réu sequer tentou explicar.</w:t>
      </w:r>
    </w:p>
    <w:p>
      <w:pPr>
        <w:spacing w:line="360" w:lineRule="auto" w:after="120"/>
        <w:ind w:firstLine="708"/>
        <w:jc w:val="both"/>
      </w:pPr>
      <w:r>
        <w:rPr>
          <w:b/>
          <w:i w:val="0"/>
        </w:rPr>
        <w:t>(ii) A consulta aos dados previdenciários não se apoia em autorização.</w:t>
      </w:r>
      <w:r>
        <w:rPr>
          <w:b w:val="0"/>
          <w:i w:val="0"/>
        </w:rPr>
        <w:t xml:space="preserve"> O réu juntou, ao contrato 204125174, "Demonstrativo de Empréstimos Consignados" dos dois benefícios da recorrente emitido em </w:t>
      </w:r>
      <w:r>
        <w:rPr>
          <w:b/>
          <w:i w:val="0"/>
        </w:rPr>
        <w:t>15/07/2020</w:t>
      </w:r>
      <w:r>
        <w:rPr>
          <w:b w:val="0"/>
          <w:i w:val="0"/>
        </w:rPr>
        <w:t xml:space="preserve"> (Id. 204392373, Pág. 141), antes da cédula de 23/07/2020, sem juntar o termo de autorização do titular para a consulta à Dataprev. O rodapé do documento indica endereço eletrônico alheio ao portal oficial do INSS (IP numérico, diretório "infraprev"). Os contratos anteriores que teriam sido refinanciados em 23/07/2020 (nº 862801286-9 e 862802960-8) </w:t>
      </w:r>
      <w:r>
        <w:rPr>
          <w:b/>
          <w:i w:val="0"/>
        </w:rPr>
        <w:t>não constam</w:t>
      </w:r>
      <w:r>
        <w:rPr>
          <w:b w:val="0"/>
          <w:i w:val="0"/>
        </w:rPr>
        <w:t xml:space="preserve"> desse demonstrativo, que lista os empréstimos ativos e suspensos dos dois benefícios.</w:t>
      </w:r>
    </w:p>
    <w:p>
      <w:pPr>
        <w:spacing w:line="360" w:lineRule="auto" w:after="120"/>
        <w:ind w:firstLine="708"/>
        <w:jc w:val="both"/>
      </w:pPr>
      <w:r>
        <w:rPr>
          <w:b/>
          <w:i w:val="0"/>
        </w:rPr>
        <w:t>(iii) O "conjunto" não supre a ausência de prova de vontade.</w:t>
      </w:r>
      <w:r>
        <w:rPr>
          <w:b w:val="0"/>
          <w:i w:val="0"/>
        </w:rPr>
        <w:t xml:space="preserve"> Conjunto é soma de elementos aptos a provar o fato; somar elementos inaptos (dados pessoais que, segundo a inicial, foram apropriados indevidamente; fotografias sem metadados; TEDs sem prova de titularidade ou saque; canais de contato alheios; valores que não fecham) não os torna aptos. Quando o réu atribui a si mesmo a utilização de plataformas digitais com biometria, geolocalização e logs (Id. 204392370, Pág. 111), mas não junta nenhum desses registros, a lacuna só pode militar contra ele.</w:t>
      </w:r>
    </w:p>
    <w:p>
      <w:pPr>
        <w:keepNext/>
        <w:spacing w:line="360" w:lineRule="auto" w:after="120" w:before="160"/>
        <w:jc w:val="left"/>
      </w:pPr>
      <w:r>
        <w:rPr>
          <w:b/>
          <w:color w:val="1F3864"/>
        </w:rPr>
        <w:t>IV.4 — DAS PRELIMINARES E PREJUDICIAL NÃO APRECIADAS (ART. 1.013, § 2º, CPC)</w:t>
      </w:r>
    </w:p>
    <w:p>
      <w:pPr>
        <w:spacing w:line="360" w:lineRule="auto" w:after="120"/>
        <w:ind w:firstLine="708"/>
        <w:jc w:val="both"/>
      </w:pPr>
      <w:r>
        <w:rPr>
          <w:b w:val="0"/>
          <w:i w:val="0"/>
        </w:rPr>
        <w:t>A sentença deixou de apreciar as preliminares da contestação (art. 488, CPC). Caso a Turma as aprecie, mantêm-se as razões da impugnação (Id. 204527891), resumidas: (i) o interesse de agir decorre da pretensão resistida, e a prévia via administrativa não é condição da ação (art. 5º, XXXV, CF); (ii) o extrato do INSS (Id. 202432176) basta à causa de pedir, sendo o extrato bancário matéria de prova; (iii) a conexão foi alegada sem identificar os requisitos do art. 55 do CPC; (iv) a perda do objeto não se verifica, porque se pede a repetição do que já foi descontado; e (v) a pretensão não está prescrita, por tratar-se de nulidade por ausência de manifestação de vontade, com descontos sucessivos [VERIFICAR ANTES DE PROTOCOLAR: precedente sobre o prazo prescricional invocado na impugnação].</w:t>
      </w:r>
    </w:p>
    <w:p>
      <w:pPr>
        <w:keepNext/>
        <w:spacing w:line="360" w:lineRule="auto" w:after="120" w:before="160"/>
        <w:jc w:val="left"/>
      </w:pPr>
      <w:r>
        <w:rPr>
          <w:b/>
          <w:color w:val="1F3864"/>
        </w:rPr>
        <w:t>IV.5 — DO DANO MORAL, DA REPETIÇÃO EM DOBRO E DOS CONSECTÁRIOS</w:t>
      </w:r>
    </w:p>
    <w:p>
      <w:pPr>
        <w:spacing w:line="360" w:lineRule="auto" w:after="120"/>
        <w:ind w:firstLine="708"/>
        <w:jc w:val="both"/>
      </w:pPr>
      <w:r>
        <w:rPr>
          <w:b w:val="0"/>
          <w:i w:val="0"/>
        </w:rPr>
        <w:t>Reformada a sentença quanto à contratação, o dano moral é consequência necessária: a sentença o negou apenas como corolário da validade dos contratos ("consequentemente"). Afastada essa premissa, resta o ilícito, e com ele o dever de reparar (art. 14, CDC; Súmula 479/STJ).</w:t>
      </w:r>
    </w:p>
    <w:p>
      <w:pPr>
        <w:spacing w:line="360" w:lineRule="auto" w:after="120"/>
        <w:ind w:firstLine="708"/>
        <w:jc w:val="both"/>
      </w:pPr>
      <w:r>
        <w:rPr>
          <w:b w:val="0"/>
          <w:i w:val="0"/>
        </w:rPr>
        <w:t xml:space="preserve">O dano é presumido (art. 5º, X, CF). Descontos mensais indevidos, por até seis anos, sobre verba de natureza alimentar de idosa, aposentada por incapacidade e pensionista, que retém, como visto, cerca de 42,6% de sua renda bruta total em consignações, comprimem diretamente o mínimo existencial e não configuram mero aborrecimento. Somem-se a isso a exposição dos dados pessoais da recorrente em contratações não consentidas (LGPD, arts. 42 e 46) e o desvio produtivo do consumidor, que teve de descobrir os contratos e litigar para ver reconhecida a fraude. Pede-se a fixação em </w:t>
      </w:r>
      <w:r>
        <w:rPr>
          <w:b/>
          <w:i w:val="0"/>
        </w:rPr>
        <w:t>R$ 40.000,00, valor postulado na inicial</w:t>
      </w:r>
      <w:r>
        <w:rPr>
          <w:b w:val="0"/>
          <w:i w:val="0"/>
        </w:rPr>
        <w:t>, com juros desde o evento danoso (Súmula 54/STJ) e correção desde o arbitramento (Súmula 362/STJ), observado o art. 406 do CC na redação da Lei 14.905/2024 para o período posterior a 30/08/2024.</w:t>
      </w:r>
    </w:p>
    <w:p>
      <w:pPr>
        <w:spacing w:line="360" w:lineRule="auto" w:after="120"/>
        <w:ind w:firstLine="708"/>
        <w:jc w:val="both"/>
      </w:pPr>
      <w:r>
        <w:rPr>
          <w:b w:val="0"/>
          <w:i w:val="0"/>
        </w:rPr>
        <w:t xml:space="preserve">A repetição em dobro (art. 42, parágrafo único, CDC) é devida: cobrar contrato cuja autoria não se prova é conduta contrária à boa-fé objetiva, o que dispensa a prova de má-fé (EAREsp 676.608/RS [VERIFICAR ANTES DE PROTOCOLAR]). Os valores descontados somam R$ 6.906,40 (R$ 4.342,00 + R$ 864,00 + R$ 1.700,40), e o dobro, </w:t>
      </w:r>
      <w:r>
        <w:rPr>
          <w:b/>
          <w:i w:val="0"/>
        </w:rPr>
        <w:t>R$ 13.812,80</w:t>
      </w:r>
      <w:r>
        <w:rPr>
          <w:b w:val="0"/>
          <w:i w:val="0"/>
        </w:rPr>
        <w:t>, com correção desde cada desconto (Súmula 43/STJ) e juros desde o evento (Súmula 54/STJ).</w:t>
      </w:r>
    </w:p>
    <w:p>
      <w:pPr>
        <w:spacing w:line="360" w:lineRule="auto" w:after="120"/>
        <w:ind w:firstLine="708"/>
        <w:jc w:val="both"/>
      </w:pPr>
      <w:r>
        <w:rPr>
          <w:b w:val="0"/>
          <w:i w:val="0"/>
        </w:rPr>
        <w:t>Para o caso remoto de a Turma entender necessário o encontro de contas postulado na contestação (Id. 204392370, Págs. 115-116), sem reconhecer qualquer recebimento pela recorrente, requer-se que ele se limite estritamente aos valores cuja efetiva entrega à autora esteja comprovada nos autos, jamais aos valores de suposta liquidação de contratos anteriores, que o réu não comprovou, e sempre com dedução das parcelas já descontadas do benefício. Nada comprova, aliás, o recebimento do crédito do contrato 185097140.</w:t>
      </w:r>
    </w:p>
    <w:p>
      <w:pPr>
        <w:keepNext/>
        <w:spacing w:line="360" w:lineRule="auto" w:after="160" w:before="240"/>
        <w:jc w:val="left"/>
        <w:pBdr>
          <w:bottom w:val="single" w:sz="8" w:space="1" w:color="1F3864"/>
        </w:pBdr>
      </w:pPr>
      <w:r>
        <w:rPr>
          <w:b/>
          <w:color w:val="1F3864"/>
        </w:rPr>
        <w:t>V — DO PREQUESTIONAMENTO</w:t>
      </w:r>
    </w:p>
    <w:p>
      <w:pPr>
        <w:spacing w:line="360" w:lineRule="auto" w:after="120"/>
        <w:ind w:firstLine="708"/>
        <w:jc w:val="both"/>
      </w:pPr>
      <w:r>
        <w:rPr>
          <w:b w:val="0"/>
          <w:i w:val="0"/>
        </w:rPr>
        <w:t>Para fins de eventual Recurso Extraordinário (art. 102, III, CF) e de pedido de uniformização, ficam expressamente prequestionados: art. 5º, X, XXXV e LXXIV, CF; arts. 6º, VIII, 14 e 17, CDC; Súmula 479/STJ; art. 373, I e II e § 1º, CPC; art. 98, CPC; arts. 104 e 169, CC; e arts. 42 e 46 da Lei 13.709/2018.</w:t>
      </w:r>
    </w:p>
    <w:p>
      <w:pPr>
        <w:keepNext/>
        <w:spacing w:line="360" w:lineRule="auto" w:after="160" w:before="240"/>
        <w:jc w:val="left"/>
        <w:pBdr>
          <w:bottom w:val="single" w:sz="8" w:space="1" w:color="1F3864"/>
        </w:pBdr>
      </w:pPr>
      <w:r>
        <w:rPr>
          <w:b/>
          <w:color w:val="1F3864"/>
        </w:rPr>
        <w:t>VI — DOS PEDIDOS</w:t>
      </w:r>
    </w:p>
    <w:p>
      <w:pPr>
        <w:spacing w:line="360" w:lineRule="auto" w:after="120"/>
        <w:jc w:val="both"/>
      </w:pPr>
      <w:r>
        <w:rPr>
          <w:b w:val="0"/>
          <w:i w:val="0"/>
        </w:rPr>
        <w:t>Ante o exposto, requer a recorrente:</w:t>
      </w:r>
    </w:p>
    <w:p>
      <w:pPr>
        <w:spacing w:line="360" w:lineRule="auto" w:after="120"/>
        <w:ind w:left="708" w:hanging="340"/>
        <w:jc w:val="both"/>
      </w:pPr>
      <w:r>
        <w:rPr>
          <w:b w:val="0"/>
        </w:rPr>
        <w:t>a) o deferimento da gratuidade da justiça, com dispensa de preparo (Doc. 1), e a prioridade de tramitação como pessoa idosa;</w:t>
      </w:r>
    </w:p>
    <w:p>
      <w:pPr>
        <w:spacing w:line="360" w:lineRule="auto" w:after="120"/>
        <w:ind w:left="708" w:hanging="340"/>
        <w:jc w:val="both"/>
      </w:pPr>
      <w:r>
        <w:rPr>
          <w:b w:val="0"/>
        </w:rPr>
        <w:t xml:space="preserve">b) o conhecimento e o provimento do recurso, para </w:t>
      </w:r>
      <w:r>
        <w:rPr>
          <w:b/>
        </w:rPr>
        <w:t>reformar integralmente a sentença</w:t>
      </w:r>
      <w:r>
        <w:rPr>
          <w:b w:val="0"/>
        </w:rPr>
        <w:t xml:space="preserve"> e julgar procedentes os pedidos da inicial;</w:t>
      </w:r>
    </w:p>
    <w:p>
      <w:pPr>
        <w:spacing w:line="360" w:lineRule="auto" w:after="120"/>
        <w:ind w:left="708" w:hanging="340"/>
        <w:jc w:val="both"/>
      </w:pPr>
      <w:r>
        <w:rPr>
          <w:b w:val="0"/>
        </w:rPr>
        <w:t xml:space="preserve">c) a </w:t>
      </w:r>
      <w:r>
        <w:rPr>
          <w:b/>
        </w:rPr>
        <w:t>declaração de inexistência</w:t>
      </w:r>
      <w:r>
        <w:rPr>
          <w:b w:val="0"/>
        </w:rPr>
        <w:t xml:space="preserve"> das relações jurídicas decorrentes dos contratos nº 180957451, nº 185097140 e nº 204125174 e da inexigibilidade dos respectivos débitos;</w:t>
      </w:r>
    </w:p>
    <w:p>
      <w:pPr>
        <w:spacing w:line="360" w:lineRule="auto" w:after="120"/>
        <w:ind w:left="708" w:hanging="340"/>
        <w:jc w:val="both"/>
      </w:pPr>
      <w:r>
        <w:rPr>
          <w:b w:val="0"/>
        </w:rPr>
        <w:t xml:space="preserve">d) a </w:t>
      </w:r>
      <w:r>
        <w:rPr>
          <w:b/>
        </w:rPr>
        <w:t>repetição em dobro</w:t>
      </w:r>
      <w:r>
        <w:rPr>
          <w:b w:val="0"/>
        </w:rPr>
        <w:t xml:space="preserve"> dos valores descontados, R$ 6.906,40 (dobro: R$ 13.812,80), com correção desde cada desconto e juros desde o evento;</w:t>
      </w:r>
    </w:p>
    <w:p>
      <w:pPr>
        <w:spacing w:line="360" w:lineRule="auto" w:after="120"/>
        <w:ind w:left="708" w:hanging="340"/>
        <w:jc w:val="both"/>
      </w:pPr>
      <w:r>
        <w:rPr>
          <w:b w:val="0"/>
        </w:rPr>
        <w:t xml:space="preserve">e) a condenação do recorrido ao pagamento de </w:t>
      </w:r>
      <w:r>
        <w:rPr>
          <w:b/>
        </w:rPr>
        <w:t>indenização por danos morais de R$ 40.000,00</w:t>
      </w:r>
      <w:r>
        <w:rPr>
          <w:b w:val="0"/>
        </w:rPr>
        <w:t>, com juros desde o evento danoso (Súmula 54/STJ) e correção desde o arbitramento (Súmula 362/STJ);</w:t>
      </w:r>
    </w:p>
    <w:p>
      <w:pPr>
        <w:spacing w:line="360" w:lineRule="auto" w:after="120"/>
        <w:ind w:left="708" w:hanging="340"/>
        <w:jc w:val="both"/>
      </w:pPr>
      <w:r>
        <w:rPr>
          <w:b w:val="0"/>
        </w:rPr>
        <w:t>f) subsidiariamente, o provimento parcial do recurso para reformar a sentença ao menos quanto ao contrato nº 185097140 (sem TED nem conta identificada) e, na sequência, quanto ao contrato nº 204125174, com a respectiva repetição em dobro e a reparação por danos morais;</w:t>
      </w:r>
    </w:p>
    <w:p>
      <w:pPr>
        <w:spacing w:line="360" w:lineRule="auto" w:after="120"/>
        <w:ind w:left="708" w:hanging="340"/>
        <w:jc w:val="both"/>
      </w:pPr>
      <w:r>
        <w:rPr>
          <w:b w:val="0"/>
        </w:rPr>
        <w:t>g) subsidiariamente, caso reconhecida compensação, que se limite aos valores cuja entrega à autora esteja comprovada, nos termos do item IV.5;</w:t>
      </w:r>
    </w:p>
    <w:p>
      <w:pPr>
        <w:spacing w:line="360" w:lineRule="auto" w:after="120"/>
        <w:ind w:left="708" w:hanging="340"/>
        <w:jc w:val="both"/>
      </w:pPr>
      <w:r>
        <w:rPr>
          <w:b w:val="0"/>
        </w:rPr>
        <w:t>h) a condenação do recorrido nas custas e nos honorários advocatícios de sucumbência recursal (art. 55, Lei 9.099/95);</w:t>
      </w:r>
    </w:p>
    <w:p>
      <w:pPr>
        <w:spacing w:line="360" w:lineRule="auto" w:after="120"/>
        <w:ind w:left="708" w:hanging="340"/>
        <w:jc w:val="both"/>
      </w:pPr>
      <w:r>
        <w:rPr>
          <w:b w:val="0"/>
        </w:rPr>
        <w:t>i) a realização de todas as intimações em nome do advogado signatário.</w:t>
      </w:r>
    </w:p>
    <w:p>
      <w:pPr>
        <w:spacing w:line="360" w:lineRule="auto" w:after="120"/>
        <w:jc w:val="both"/>
      </w:pPr>
      <w:r>
        <w:rPr>
          <w:b w:val="0"/>
          <w:i w:val="0"/>
        </w:rPr>
        <w:t>Termos em que pede deferimento.</w:t>
      </w:r>
    </w:p>
    <w:p>
      <w:pPr>
        <w:spacing w:line="360" w:lineRule="auto" w:after="120"/>
        <w:jc w:val="both"/>
      </w:pPr>
      <w:r>
        <w:rPr>
          <w:b w:val="0"/>
          <w:i w:val="0"/>
        </w:rPr>
        <w:t>Salvador/BA, data da assinatura eletrônica.</w:t>
      </w:r>
    </w:p>
    <w:p>
      <w:pPr>
        <w:spacing w:line="360" w:lineRule="auto" w:after="120"/>
        <w:jc w:val="center"/>
      </w:pPr>
      <w:r>
        <w:rPr>
          <w:b w:val="0"/>
          <w:i w:val="0"/>
        </w:rPr>
        <w:t>CLEYTON DA SILVA BARBOSA</w:t>
        <w:br/>
        <w:t>OAB/MS 17.311 — OAB/BA 92.148</w:t>
      </w:r>
    </w:p>
    <w:p>
      <w:pPr>
        <w:spacing w:line="360" w:lineRule="auto" w:after="120"/>
        <w:jc w:val="both"/>
      </w:pPr>
      <w:r>
        <w:rPr>
          <w:b/>
          <w:i w:val="0"/>
        </w:rPr>
        <w:t>Documento anexo:</w:t>
      </w:r>
      <w:r>
        <w:rPr>
          <w:b w:val="0"/>
          <w:i w:val="0"/>
        </w:rPr>
        <w:t xml:space="preserve"> Doc. 1 — Histórico de Créditos do INSS (Mary Raimunda Santos Almeida), emitido em 04/09/2026.</w:t>
      </w:r>
    </w:p>
    <w:sectPr w:rsidR="00FC693F" w:rsidRPr="0006063C" w:rsidSect="00034616">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