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416D" w14:textId="5A9450E6" w:rsidR="00BE7104" w:rsidRDefault="009404F3" w:rsidP="00BE7104">
      <w:pPr>
        <w:spacing w:after="220"/>
        <w:jc w:val="center"/>
      </w:pPr>
      <w:r>
        <w:rPr>
          <w:b/>
          <w:bCs/>
          <w:sz w:val="24"/>
          <w:szCs w:val="24"/>
        </w:rPr>
        <w:t xml:space="preserve">AO JUÍZO DE DIREITO DA </w:t>
      </w:r>
      <w:r>
        <w:rPr>
          <w:b/>
          <w:bCs/>
          <w:i/>
          <w:color w:val="B45309"/>
          <w:sz w:val="24"/>
          <w:szCs w:val="24"/>
        </w:rPr>
        <w:t xml:space="preserve">___ª</w:t>
      </w:r>
      <w:r>
        <w:rPr>
          <w:b/>
          <w:bCs/>
          <w:sz w:val="24"/>
          <w:szCs w:val="24"/>
        </w:rPr>
        <w:t xml:space="preserve"> VARA CÍVEL DA COMARCA DE SALVADOR/BA</w:t>
      </w:r>
    </w:p>
    <w:p w14:paraId="4821C19A" w14:textId="6CDD42B4" w:rsidR="00EA5AEA" w:rsidRDefault="00C45656" w:rsidP="003506ED">
      <w:pPr>
        <w:spacing w:after="200" w:line="320" w:lineRule="auto"/>
        <w:jc w:val="both"/>
      </w:pPr>
      <w:r>
        <w:rPr>
          <w:b/>
          <w:color w:val="002060"/>
        </w:rPr>
        <w:t xml:space="preserve">ALCIMAR ALVES DE SOUZA</w:t>
      </w:r>
      <w:r>
        <w:t xml:space="preserve">, brasileiro, aposentado por invalidez previdenciária (beneficiário do INSS), portador do RG nº 1730077-0 SSP/AM, inscrito no CPF sob o nº 003.235.152-66, residente e domiciliado na Rua 13, nº 368, Bairro Jair Tupinamba, CEP 69.240-000, Autazes/AM, sem endereço eletrônico, representado por seu procurador devidamente constituído mediante instrumento de mandato anexo, com endereço profissional na Avenida Afonso Pena, nº 1897, Sala 101, Centro, Campo Grande/MS, CEP 79002-070 (Cleyton Barbosa Sociedade Individual de Advocacia, CNPJ 65.182.435/0001-40), local indicado para recepção de comunicações, intimações e notificações processuais, vem, respeitosamente, perante este Juízo, ajuizar a presente</w:t>
      </w:r>
    </w:p>
    <w:p w14:paraId="4821C19B" w14:textId="5D4A39B9" w:rsidR="00EA5AEA" w:rsidRDefault="00E94E64">
      <w:pPr>
        <w:spacing w:before="200" w:after="240"/>
        <w:jc w:val="center"/>
      </w:pPr>
      <w:r>
        <w:rPr>
          <w:b/>
          <w:bCs/>
        </w:rPr>
        <w:t xml:space="preserve">AÇÃO DE DECLARAÇÃO DE INEXISTÊNCIA DE RELAÇÃO OBRIGACIONAL CUMULADA COM REPETIÇÃO EM DOBRO DO INDÉBITO, INDENIZAÇÃO POR DANOS EXTRAPATRIMONIAIS E PEDIDO DE TUTELA DE URGÊNCIA DE NATUREZA ANTECIPADA</w:t>
      </w:r>
    </w:p>
    <w:p w14:paraId="4821C19C" w14:textId="63B38372" w:rsidR="00EA5AEA" w:rsidRPr="0079695D" w:rsidRDefault="00E94E64" w:rsidP="00A56FD6">
      <w:pPr>
        <w:spacing w:after="160" w:line="320" w:lineRule="auto"/>
        <w:jc w:val="both"/>
      </w:pPr>
      <w:r>
        <w:t xml:space="preserve">contra </w:t>
      </w:r>
      <w:r>
        <w:rPr>
          <w:b/>
          <w:color w:val="002060"/>
        </w:rPr>
        <w:t xml:space="preserve">Banco Bmg S/A</w:t>
      </w:r>
      <w:r>
        <w:t xml:space="preserve">, pessoa jurídica de direito privado, inscrita no CNPJ sob o nº 61.186.680/0001-74, com sede na Avenida Presidente Juscelino Kubitschek, nº 1.830, Torre 2, 10º andar, Vila Nova Conceição, São Paulo/SP, CEP 04543-900, e-mail para intimações desconhecido, pelos fatos e fundamentos a seguir expostos.</w:t>
      </w:r>
    </w:p>
    <w:p w14:paraId="4821C19E" w14:textId="77777777" w:rsidR="00EA5AEA" w:rsidRDefault="00E94E64">
      <w:pPr>
        <w:spacing w:before="280" w:after="140"/>
      </w:pPr>
      <w:r>
        <w:rPr>
          <w:b/>
          <w:bCs/>
        </w:rPr>
        <w:t>1  ·  OBSERVAÇÃO PRELIMINAR ENDEREÇADA A ESTE JUÍZO</w:t>
      </w:r>
    </w:p>
    <w:p w14:paraId="4821C1A0" w14:textId="77777777" w:rsidR="00EA5AEA" w:rsidRDefault="00E94E64">
      <w:pPr>
        <w:spacing w:before="220" w:after="110"/>
      </w:pPr>
      <w:r>
        <w:rPr>
          <w:b/>
          <w:bCs/>
          <w:i/>
          <w:iCs/>
        </w:rPr>
        <w:t>1.1  ·  Estruturação de mecanismos ilícitos no âmbito financeiro — apropriação indevida de dados pessoais e biometria — instrumentalização econômica de sujeitos hipervulneráveis — necessidade de resposta jurisdicional contramajoritária</w:t>
      </w:r>
    </w:p>
    <w:p w14:paraId="4821C1A1" w14:textId="77777777" w:rsidR="00EA5AEA" w:rsidRDefault="00E94E64">
      <w:pPr>
        <w:spacing w:after="140" w:line="320" w:lineRule="auto"/>
        <w:jc w:val="both"/>
      </w:pPr>
      <w:r>
        <w:t>Antes da exposição sistemática dos pressupostos fático-jurídicos da presente controvérsia, impõe-se uma advertência de natureza estrutural, cuja compreensão é indispensável à devida apreensão do contexto litigioso.</w:t>
      </w:r>
    </w:p>
    <w:p w14:paraId="4821C1A2" w14:textId="77777777" w:rsidR="00EA5AEA" w:rsidRDefault="00E94E64">
      <w:pPr>
        <w:spacing w:after="140" w:line="320" w:lineRule="auto"/>
        <w:jc w:val="both"/>
      </w:pPr>
      <w:r>
        <w:t xml:space="preserve">O </w:t>
      </w:r>
      <w:r>
        <w:rPr>
          <w:i/>
          <w:iCs/>
        </w:rPr>
        <w:t>modus operandi</w:t>
      </w:r>
      <w:r>
        <w:t xml:space="preserve"> fraudulento sob análise repousa na apropriação indevida de dados pessoais de notória sensibilidade — biometria facial, CPF, NIT, registros previdenciários e informações extraídas do CNIS —, empregados ilicitamente para simular negócios jurídicos desprovidos de qualquer substrato fático de consentimento, elemento essencial à validade dos atos jurídicos nos termos do artigo 113 do Código Civil de 2002.</w:t>
      </w:r>
    </w:p>
    <w:p w14:paraId="4821C1A3" w14:textId="77777777" w:rsidR="00EA5AEA" w:rsidRDefault="00E94E64">
      <w:pPr>
        <w:spacing w:after="140" w:line="320" w:lineRule="auto"/>
        <w:jc w:val="both"/>
      </w:pPr>
      <w:r>
        <w:lastRenderedPageBreak/>
        <w:t>As supostas adesões contratuais, realizadas sem manifestação livre e esclarecida de vontade, revestem-se tão somente de aparência formal de legitimidade, obtida mediante expedientes enganosos e procedimentos de duvidosa idoneidade técnica.</w:t>
      </w:r>
    </w:p>
    <w:p w14:paraId="4821C1A4" w14:textId="77777777" w:rsidR="00EA5AEA" w:rsidRDefault="00E94E64">
      <w:pPr>
        <w:spacing w:after="140" w:line="320" w:lineRule="auto"/>
        <w:jc w:val="both"/>
      </w:pPr>
      <w:r>
        <w:t xml:space="preserve">A denominada </w:t>
      </w:r>
      <w:r>
        <w:rPr>
          <w:i/>
          <w:iCs/>
        </w:rPr>
        <w:t>“anuência”</w:t>
      </w:r>
      <w:r>
        <w:t xml:space="preserve"> revela-se construção puramente simulada — ficção jurídica edificada sobre dispositivos tecnológicos suscetíveis a manipulações e destituídos de garantias elementares de integridade e autoria incontestável, destinada a inserir o consumidor em ambiente digital ilusório, no qual a tutela é exibida em forma, mas substancialmente esvaziada de eficácia.</w:t>
      </w:r>
    </w:p>
    <w:p w14:paraId="4821C1A5" w14:textId="77777777" w:rsidR="00EA5AEA" w:rsidRDefault="00E94E64">
      <w:pPr>
        <w:spacing w:after="140" w:line="320" w:lineRule="auto"/>
        <w:jc w:val="both"/>
      </w:pPr>
      <w:r>
        <w:t>Tais operações são frequentemente viabilizadas por correspondentes bancários ou agentes da própria estrutura das instituições financeiras, submetidos a modelos de remuneração comissionada que criam incentivos estruturais à fraude, dissimulando, sob o véu de conformidade meramente formal, condutas que ofendem os princípios da autonomia privada, da boa-fé objetiva e da lealdade contratual.</w:t>
      </w:r>
    </w:p>
    <w:p w14:paraId="4821C1A6" w14:textId="77777777" w:rsidR="00EA5AEA" w:rsidRDefault="00E94E64">
      <w:pPr>
        <w:spacing w:after="140" w:line="320" w:lineRule="auto"/>
        <w:jc w:val="both"/>
      </w:pPr>
      <w:r>
        <w:t>O fenômeno não se circunscreve ao episódico. Manifesta-se em dimensões sistêmicas, com repercussões gravíssimas sobre a segurança jurídica e os direitos fundamentais dos cidadãos — em especial dos que se encontram em situação de fragilidade estrutural: idosos, analfabetos funcionais, aposentados e hipossuficientes, arbitrariamente inseridos no polo passivo de obrigações creditícias cuja origem lhes é totalmente alheia.</w:t>
      </w:r>
    </w:p>
    <w:p w14:paraId="4821C1A7" w14:textId="77777777" w:rsidR="00EA5AEA" w:rsidRDefault="00E94E64">
      <w:pPr>
        <w:spacing w:after="140" w:line="320" w:lineRule="auto"/>
        <w:jc w:val="both"/>
      </w:pPr>
      <w:r>
        <w:t>Por meio desse mecanismo, milhares de brasileiros têm seus rendimentos — muitas vezes únicos e indispensáveis à subsistência — desviados por estruturas profundamente enraizadas no sistema financeiro nacional, em manifesto desrespeito à Constituição Federal de 1988.</w:t>
      </w:r>
    </w:p>
    <w:p w14:paraId="4821C1A8" w14:textId="77777777" w:rsidR="00EA5AEA" w:rsidRDefault="00E94E64">
      <w:pPr>
        <w:spacing w:after="140" w:line="320" w:lineRule="auto"/>
        <w:jc w:val="both"/>
      </w:pPr>
      <w:r>
        <w:t>A sofisticação das estratégias dolosas e a extensão dos prejuízos infligidos exigem mais do que a aplicação mecânico-formal da norma positivada: reclamam o exercício de uma hermenêutica jurídica crítica, comprometida com os valores da justiça material, capaz de superar a literalidade do texto legal para adentrar as camadas ocultas de um modelo financeiro que instrumentaliza a fragilidade humana em favor de operações de natureza predatória.</w:t>
      </w:r>
    </w:p>
    <w:p w14:paraId="4821C1A9" w14:textId="77777777" w:rsidR="00EA5AEA" w:rsidRDefault="00E94E64">
      <w:pPr>
        <w:spacing w:after="140" w:line="320" w:lineRule="auto"/>
        <w:jc w:val="both"/>
      </w:pPr>
      <w:r>
        <w:t>É precisamente nesse momento que ao Poder Judiciário se impõe o dever constitucional de intervir — não como árbitro impassível, mas como guardião ativo da justiça substancial —, restituindo a voz aos silenciados e reafirmando os alicerces civilizatórios sobre os quais se erige a República.</w:t>
      </w:r>
    </w:p>
    <w:p w14:paraId="4821C1AA" w14:textId="77777777" w:rsidR="00EA5AEA" w:rsidRDefault="00E94E64">
      <w:pPr>
        <w:spacing w:after="140" w:line="320" w:lineRule="auto"/>
        <w:jc w:val="both"/>
      </w:pPr>
      <w:r>
        <w:t>A lide trazida a julgamento não se confunde com demanda de mera rotina consumerista. Trata-se de caso paradigmático, expressão microcósmica de uma patologia macroestrutural que reclama, deste juízo, escrutínio técnico aprofundado e sensibilidade hermenêutica proporcional à gravidade do fenômeno denunciado.</w:t>
      </w:r>
    </w:p>
    <w:p w14:paraId="4821C1AB" w14:textId="77777777" w:rsidR="00EA5AEA" w:rsidRDefault="00E94E64">
      <w:pPr>
        <w:spacing w:before="280" w:after="140"/>
      </w:pPr>
      <w:r>
        <w:rPr>
          <w:b/>
          <w:bCs/>
        </w:rPr>
        <w:lastRenderedPageBreak/>
        <w:t>2  ·  DO PEDIDO DE GRATUIDADE DA JUSTIÇA</w:t>
      </w:r>
    </w:p>
    <w:p w14:paraId="4821C1AC" w14:textId="77777777" w:rsidR="00EA5AEA" w:rsidRDefault="00E94E64">
      <w:pPr>
        <w:spacing w:after="140" w:line="320" w:lineRule="auto"/>
        <w:jc w:val="both"/>
      </w:pPr>
      <w:r>
        <w:t>Antes de adentrar ao mérito, postula-se a concessão da gratuidade da justiça à parte autora, nos termos dos artigos 98 e seguintes do Código de Processo Civil de 2015, combinados com o artigo 5º, inciso LXXIV, da Constituição Federal de 1988 — que eleva à condição de garantia fundamental o acesso à jurisdição sem o óbice das custas e despesas processuais.</w:t>
      </w:r>
    </w:p>
    <w:p w14:paraId="4821C1AD" w14:textId="77777777" w:rsidR="00EA5AEA" w:rsidRDefault="00E94E64">
      <w:pPr>
        <w:spacing w:after="140" w:line="320" w:lineRule="auto"/>
        <w:jc w:val="both"/>
      </w:pPr>
      <w:r>
        <w:t>A concessão do benefício não configura liberalidade do Estado-juiz, mas verdadeiro imperativo constitucional: negar o acesso ao Poder Judiciário a quem carece de condições econômicas para litigar significa esvaziar o próprio direito material tutelado, convertendo a garantia constitucional em promessa vã reservada aos que já dispõem de meios para se defender.</w:t>
      </w:r>
    </w:p>
    <w:p w14:paraId="4821C1AE" w14:textId="77777777" w:rsidR="00EA5AEA" w:rsidRDefault="00E94E64">
      <w:pPr>
        <w:spacing w:after="140" w:line="320" w:lineRule="auto"/>
        <w:jc w:val="both"/>
      </w:pPr>
      <w:r>
        <w:t xml:space="preserve">A parte autora é beneficiário do Instituto Nacional do Seguro Social, percebendo proventos previdenciários que constituem sua única e exclusiva fonte de renda, insuficientes para suportar os custos processuais sem comprometer o próprio sustento.</w:t>
      </w:r>
    </w:p>
    <w:p w14:paraId="4821C1AF" w14:textId="77777777" w:rsidR="00EA5AEA" w:rsidRDefault="00E94E64">
      <w:pPr>
        <w:spacing w:after="140" w:line="320" w:lineRule="auto"/>
        <w:jc w:val="both"/>
      </w:pPr>
      <w:r>
        <w:t>Enquadra-se, com precisão técnica e fática, na categoria dos hipervulneráveis — destinatários preferenciais da proteção consumerista —, para quem o processo judicial não é opção estratégica, mas último refúgio diante da opressão negocial.</w:t>
      </w:r>
    </w:p>
    <w:p w14:paraId="4821C1B0" w14:textId="77777777" w:rsidR="00EA5AEA" w:rsidRDefault="00E94E64">
      <w:pPr>
        <w:spacing w:after="140" w:line="320" w:lineRule="auto"/>
        <w:jc w:val="both"/>
      </w:pPr>
      <w:r>
        <w:t>Nos termos do artigo 99, § 3º, do CPC/2015, a declaração de hipossuficiência da pessoa natural presume-se verdadeira, cabendo à parte contrária impugná-la mediante prova robusta em sentido oposto. Não é dado ao Juízo indeferir o benefício sem elementos concretos aptos a infirmar tal afirmação, sob pena de violação à isonomia processual em sua dimensão material.</w:t>
      </w:r>
    </w:p>
    <w:p w14:paraId="4821C1B1" w14:textId="77777777" w:rsidR="00EA5AEA" w:rsidRDefault="00E94E64">
      <w:pPr>
        <w:spacing w:after="140" w:line="320" w:lineRule="auto"/>
        <w:jc w:val="both"/>
      </w:pPr>
      <w:r>
        <w:t>A parte demandante, contudo, não se limita à mera declaração. Acompanham a presente peça documentos emitidos pelo próprio INSS dos quais se extrai, com inequívoca clareza:</w:t>
      </w:r>
    </w:p>
    <w:p w14:paraId="4821C1B2" w14:textId="77777777" w:rsidR="00EA5AEA" w:rsidRDefault="00E94E64">
      <w:pPr>
        <w:pStyle w:val="PargrafodaLista"/>
        <w:numPr>
          <w:ilvl w:val="0"/>
          <w:numId w:val="2"/>
        </w:numPr>
        <w:spacing w:after="120" w:line="320" w:lineRule="auto"/>
        <w:jc w:val="both"/>
      </w:pPr>
      <w:r>
        <w:t xml:space="preserve">a condição de beneficiário do sistema previdenciário público;</w:t>
      </w:r>
    </w:p>
    <w:p w14:paraId="4821C1B3" w14:textId="77777777" w:rsidR="00EA5AEA" w:rsidRDefault="00E94E64">
      <w:pPr>
        <w:pStyle w:val="PargrafodaLista"/>
        <w:numPr>
          <w:ilvl w:val="0"/>
          <w:numId w:val="2"/>
        </w:numPr>
        <w:spacing w:after="120" w:line="320" w:lineRule="auto"/>
        <w:jc w:val="both"/>
      </w:pPr>
      <w:r>
        <w:t>o valor dos proventos mensalmente percebidos;</w:t>
      </w:r>
    </w:p>
    <w:p w14:paraId="4821C1B4" w14:textId="77777777" w:rsidR="00EA5AEA" w:rsidRDefault="00E94E64">
      <w:pPr>
        <w:pStyle w:val="PargrafodaLista"/>
        <w:numPr>
          <w:ilvl w:val="0"/>
          <w:numId w:val="2"/>
        </w:numPr>
        <w:spacing w:after="120" w:line="320" w:lineRule="auto"/>
        <w:jc w:val="both"/>
      </w:pPr>
      <w:r>
        <w:t>a ausência de rendimentos tributáveis ou fontes alternativas de subsistência.</w:t>
      </w:r>
    </w:p>
    <w:p w14:paraId="4821C1B5" w14:textId="77777777" w:rsidR="00EA5AEA" w:rsidRDefault="00E94E64">
      <w:pPr>
        <w:spacing w:after="140" w:line="320" w:lineRule="auto"/>
        <w:jc w:val="both"/>
      </w:pPr>
      <w:r>
        <w:t>Requer-se, assim, a concessão da gratuidade da justiça na forma do artigo 98, § 1º, do CPC/2015.</w:t>
      </w:r>
    </w:p>
    <w:p w14:paraId="4821C1B6" w14:textId="77777777" w:rsidR="00EA5AEA" w:rsidRDefault="00E94E64">
      <w:pPr>
        <w:spacing w:before="280" w:after="140"/>
      </w:pPr>
      <w:r>
        <w:rPr>
          <w:b/>
          <w:bCs/>
        </w:rPr>
        <w:t>3  ·  DO DESINTERESSE NA AUDIÊNCIA DE CONCILIAÇÃO</w:t>
      </w:r>
    </w:p>
    <w:p w14:paraId="4821C1B7" w14:textId="77777777" w:rsidR="00EA5AEA" w:rsidRDefault="00E94E64">
      <w:pPr>
        <w:spacing w:after="140" w:line="320" w:lineRule="auto"/>
        <w:jc w:val="both"/>
      </w:pPr>
      <w:r>
        <w:t>A parte autora manifesta, desde já, seu desinteresse na realização da audiência de conciliação, requerendo o prosseguimento direto do feito à fase instrutória.</w:t>
      </w:r>
    </w:p>
    <w:p w14:paraId="4821C1B8" w14:textId="77777777" w:rsidR="00EA5AEA" w:rsidRDefault="00E94E64">
      <w:pPr>
        <w:spacing w:after="140" w:line="320" w:lineRule="auto"/>
        <w:jc w:val="both"/>
      </w:pPr>
      <w:r>
        <w:t xml:space="preserve">Este requerimento não traduz postura refratária ao diálogo, mas constatação pragmática reiteradamente confirmada pela experiência forense: a instituição financeira ré ostenta </w:t>
      </w:r>
      <w:r>
        <w:lastRenderedPageBreak/>
        <w:t>comportamento sistemático de recusa à composição, comparecendo às sessões sem proposta substantiva ou apresentando ofertas manifestamente irrisórias, desproporcionais à lesão causada e divorciadas da boa-fé objetiva.</w:t>
      </w:r>
    </w:p>
    <w:p w14:paraId="4821C1B9" w14:textId="77777777" w:rsidR="00EA5AEA" w:rsidRDefault="00E94E64">
      <w:pPr>
        <w:spacing w:after="140" w:line="320" w:lineRule="auto"/>
        <w:jc w:val="both"/>
      </w:pPr>
      <w:r>
        <w:t>Cuida-se de postura anticonciliatória erigida à condição de política institucional, cujo único efeito prático é o de protelar artificialmente a prestação jurisdicional em detrimento da parte hipervulnerável.</w:t>
      </w:r>
    </w:p>
    <w:p w14:paraId="4821C1BA" w14:textId="77777777" w:rsidR="00EA5AEA" w:rsidRDefault="00E94E64">
      <w:pPr>
        <w:spacing w:after="140" w:line="320" w:lineRule="auto"/>
        <w:jc w:val="both"/>
      </w:pPr>
      <w:r>
        <w:t>Embora o artigo 334 do Código de Processo Civil de 2015 prestigie a autocomposição, a audiência somente se justifica quando há, de ambas as partes, real disposição para o acordo — pressuposto manifestamente ausente no caso em tela, à luz do histórico comportamental da Ré, que converte a sessão conciliatória em mero ritual procedimental desprovido de conteúdo resolutivo.</w:t>
      </w:r>
    </w:p>
    <w:p w14:paraId="4821C1BB" w14:textId="77777777" w:rsidR="00EA5AEA" w:rsidRDefault="00E94E64">
      <w:pPr>
        <w:spacing w:after="140" w:line="320" w:lineRule="auto"/>
        <w:jc w:val="both"/>
      </w:pPr>
      <w:r>
        <w:t>A sua designação, nas circunstâncias descritas, implicaria tão somente o indevido prolongamento do feito, sem perspectiva concreta de resultado útil, servindo exclusivamente à estratégia dilatória da parte economicamente mais poderosa e perpetuando, por via oblíqua, a vulnerabilidade que o presente processo busca superar.</w:t>
      </w:r>
    </w:p>
    <w:p w14:paraId="4821C1BC" w14:textId="77777777" w:rsidR="00EA5AEA" w:rsidRDefault="00E94E64">
      <w:pPr>
        <w:spacing w:after="140" w:line="320" w:lineRule="auto"/>
        <w:jc w:val="both"/>
      </w:pPr>
      <w:r>
        <w:t>Requer-se, assim, o afastamento da audiência de conciliação e o regular prosseguimento do feito.</w:t>
      </w:r>
    </w:p>
    <w:p w14:paraId="4821C1BD" w14:textId="77777777" w:rsidR="00EA5AEA" w:rsidRDefault="00E94E64">
      <w:pPr>
        <w:spacing w:before="280" w:after="140"/>
      </w:pPr>
      <w:r>
        <w:rPr>
          <w:b/>
          <w:bCs/>
        </w:rPr>
        <w:t>4  ·  DO CONTEXTO FÁTICO-PROBATÓRIO</w:t>
      </w:r>
    </w:p>
    <w:p w14:paraId="4821C1A0" w14:textId="77777777" w:rsidR="00EA5AEA" w:rsidRDefault="00E94E64">
      <w:pPr>
        <w:spacing w:before="220" w:after="110"/>
      </w:pPr>
      <w:r>
        <w:rPr>
          <w:b/>
          <w:bCs/>
          <w:i/>
          <w:iCs/>
        </w:rPr>
        <w:t xml:space="preserve">4.1  ·  Parte autora em situação de hipervulnerabilidade — ausência absoluta de anuência quanto à contratação de cartão de crédito consignado — descontos compulsórios em curso sobre o benefício previdenciário</w:t>
      </w:r>
    </w:p>
    <w:p w14:paraId="4821C1A1" w14:textId="77777777" w:rsidR="00EA5AEA" w:rsidRDefault="00E94E64">
      <w:pPr>
        <w:spacing w:after="140" w:line="320" w:lineRule="auto"/>
        <w:jc w:val="both"/>
      </w:pPr>
      <w:r>
        <w:t xml:space="preserve">A parte autora, cidadão brasileiro com 44 anos, é beneficiário do INSS (aposentadoria por invalidez previdenciária) sob o NB 629.505.812-8, com base de cálculo de R$ 2.886,67, tendo seus proventos mensais creditados em conta corrente de sua titularidade exclusiva, mantida no Banco Itaú S.A. (agência 686, conta nº 0000546270) — instituída com a finalidade específica de recepcionar, com segurança, os valores de sua aposentadoria.</w:t>
      </w:r>
    </w:p>
    <w:p w14:paraId="4821C1A1" w14:textId="77777777" w:rsidR="00EA5AEA" w:rsidRDefault="00E94E64">
      <w:pPr>
        <w:spacing w:after="140" w:line="320" w:lineRule="auto"/>
        <w:jc w:val="both"/>
      </w:pPr>
      <w:r>
        <w:t xml:space="preserve">Trata-se de verba de natureza eminentemente alimentar, revestida de proteção constitucional reforçada nos termos dos artigos 6º e 201 da Constituição Federal de 1988, destinada à preservação das condições mínimas de subsistência da promovente. Os valores são integralmente aplicados ao custeio de despesas essenciais — alimentação, medicamentos, tratamentos médicos e demais encargos indispensáveis a uma existência digna.</w:t>
      </w:r>
    </w:p>
    <w:p w14:paraId="4821C1A1" w14:textId="77777777" w:rsidR="00EA5AEA" w:rsidRDefault="00E94E64">
      <w:pPr>
        <w:spacing w:after="140" w:line="320" w:lineRule="auto"/>
        <w:jc w:val="both"/>
      </w:pPr>
      <w:r>
        <w:t xml:space="preserve">Ao longo de toda a sua trajetória, a parte autora pautou-se por estrita parcimônia orçamentária, com ínfimas transações em ambiente digital, cujas barreiras tecnológicas e operacionais lhe são substancialmente inacessíveis em razão de sua condição de aposentado por invalidez e da reduzida familiaridade com ferramentas informáticas.</w:t>
      </w:r>
    </w:p>
    <w:p w14:paraId="4821C1A1" w14:textId="77777777" w:rsidR="00EA5AEA" w:rsidRDefault="00E94E64">
      <w:pPr>
        <w:spacing w:after="140" w:line="320" w:lineRule="auto"/>
        <w:jc w:val="both"/>
      </w:pPr>
      <w:r>
        <w:t xml:space="preserve">Consoante o HISCON emitido em 31/08/2026, a margem consignável do benefício encontra-se praticamente exaurida (R$ 144,37 disponíveis para empréstimos e R$ 0,00 para cartões), circunstância que evidencia o grau de comprometimento da renda alimentar do autor.</w:t>
      </w:r>
    </w:p>
    <w:p w14:paraId="4821C1A1" w14:textId="77777777" w:rsidR="00EA5AEA" w:rsidRDefault="00E94E64">
      <w:pPr>
        <w:spacing w:after="140" w:line="320" w:lineRule="auto"/>
        <w:jc w:val="both"/>
      </w:pPr>
      <w:r>
        <w:t xml:space="preserve">Ao acessar a plataforma “Meu INSS” — com auxílio de terceiros —, constatou, com perplexidade, a existência de reserva de margem consignável para cartão de crédito consignado (RMC) e de descontos mensais registrados sob a rubrica “Desconto de cartão (RMC)”, que jamais foram cientificados ou anuídos. O contrato impugnado encontra-se descrito abaixo:</w:t>
      </w:r>
    </w:p>
    <w:p w14:paraId="42C9FB3F" w14:textId="77777777" w:rsidR="008C4648" w:rsidRDefault="008C4648" w:rsidP="00E329E7">
      <w:pPr>
        <w:jc w:val="center"/>
      </w:pPr>
      <w:r>
        <w:drawing>
          <wp:inline xmlns:a="http://schemas.openxmlformats.org/drawingml/2006/main" xmlns:pic="http://schemas.openxmlformats.org/drawingml/2006/picture">
            <wp:extent cx="5486400" cy="1005201"/>
            <wp:docPr id="1" name="Picture 1"/>
            <wp:cNvGraphicFramePr>
              <a:graphicFrameLocks noChangeAspect="1"/>
            </wp:cNvGraphicFramePr>
            <a:graphic>
              <a:graphicData uri="http://schemas.openxmlformats.org/drawingml/2006/picture">
                <pic:pic>
                  <pic:nvPicPr>
                    <pic:cNvPr id="0" name="d_rmc.png"/>
                    <pic:cNvPicPr/>
                  </pic:nvPicPr>
                  <pic:blipFill>
                    <a:blip r:embed="rId13"/>
                    <a:stretch>
                      <a:fillRect/>
                    </a:stretch>
                  </pic:blipFill>
                  <pic:spPr>
                    <a:xfrm>
                      <a:off x="0" y="0"/>
                      <a:ext cx="5486400" cy="1005201"/>
                    </a:xfrm>
                    <a:prstGeom prst="rect"/>
                  </pic:spPr>
                </pic:pic>
              </a:graphicData>
            </a:graphic>
          </wp:inline>
        </w:drawing>
      </w:r>
    </w:p>
    <w:p w14:paraId="17A32F8D" w14:textId="2E4B9833" w:rsidR="007D6BA1" w:rsidRDefault="007D6BA1" w:rsidP="004F4773">
      <w:pPr>
        <w:pStyle w:val="PargrafodaLista"/>
        <w:numPr>
          <w:ilvl w:val="0"/>
          <w:numId w:val="5"/>
        </w:numPr>
        <w:spacing w:after="140" w:line="320" w:lineRule="auto"/>
        <w:jc w:val="both"/>
      </w:pPr>
      <w:r>
        <w:rPr>
          <w:b/>
        </w:rPr>
        <w:t xml:space="preserve">Contrato 15885724 (RMC)</w:t>
      </w:r>
      <w:r>
        <w:t xml:space="preserve"> · Banco Bmg S/A · averbado em 24/12/2019 · limite de R$ 2.685,00 · reserva de margem consignável de R$ 144,33 · descontos mensais, em valores variáveis, nas competências de 02/2020 a 09/2026 (78 competências, a confirmar), somando R$ 9.138,26; repetição em dobro R$ 18.276,52 · saldo devedor informado pelo INSS em 09/2026: R$ 4.441,81.</w:t>
      </w:r>
    </w:p>
    <w:p w14:paraId="4821C1A1" w14:textId="77777777" w:rsidR="00EA5AEA" w:rsidRDefault="00E94E64">
      <w:pPr>
        <w:spacing w:after="140" w:line="320" w:lineRule="auto"/>
        <w:jc w:val="both"/>
      </w:pPr>
      <w:r>
        <w:t xml:space="preserve">Observa-se que, ao longo de todo o período, a despeito do desconto mensal em folha — que somou R$ 9.138,26 (a confirmar) —, o saldo devedor informado pelo INSS saltou de R$ 2.694,32 (competência 02/2020) para R$ 4.441,81 (competência 09/2026), valor superior ao próprio limite do cartão (R$ 2.685,00). O padrão evidencia que os descontos, de natureza mínima, não amortizam o principal, perpetuando a dívida.</w:t>
      </w:r>
    </w:p>
    <w:p w14:paraId="4821C1A1" w14:textId="77777777" w:rsidR="00EA5AEA" w:rsidRDefault="00E94E64">
      <w:pPr>
        <w:spacing w:after="140" w:line="320" w:lineRule="auto"/>
        <w:jc w:val="both"/>
      </w:pPr>
      <w:r>
        <w:t xml:space="preserve">Sugere-se, ainda, a tese de refinanciamento de RMC: nas competências 10/2023, 11/2023 e 12/2023, o valor “utilizado no mês” (R$ 3.365,76; R$ 3.352,45; R$ 3.342,15) superou o limite do cartão (R$ 2.685,00), coincidindo com o saldo devedor do período, o que indica a reutilização/refinanciamento do saldo sem anuência do consumidor, circunstância a ser aprofundada na instrução.</w:t>
      </w:r>
    </w:p>
    <w:p w14:paraId="4821C1A1" w14:textId="77777777" w:rsidR="00EA5AEA" w:rsidRDefault="00E94E64">
      <w:pPr>
        <w:spacing w:after="140" w:line="320" w:lineRule="auto"/>
        <w:jc w:val="both"/>
      </w:pPr>
      <w:r>
        <w:t xml:space="preserve">A parte autora jamais celebrou tal contrato, jamais assinou instrumento, jamais prestou consentimento ou praticou ato volitivo apto a gerar vínculo obrigacional. Nunca lhe foram submetidas cláusulas, condições gerais, taxas de juros ou quaisquer informações essenciais ao exercício de escolha esclarecida. A suposta obrigação foi-lhe imputada de forma unilateral, sem aviso, sem contraditório e sem observância dos requisitos do artigo 104 do Código Civil de 2002 — cuja ausência acarreta nulidade de pleno direito.</w:t>
      </w:r>
    </w:p>
    <w:p w14:paraId="4821C1A1" w14:textId="77777777" w:rsidR="00EA5AEA" w:rsidRDefault="00E94E64">
      <w:pPr>
        <w:spacing w:after="140" w:line="320" w:lineRule="auto"/>
        <w:jc w:val="both"/>
      </w:pPr>
      <w:r>
        <w:t xml:space="preserve">Diante dos descontos irregulares, a parte autora buscou, de boa-fé, a suspensão das deduções perante a instituição financeira. Encontrou, contudo, não um canal de diálogo, mas barreira burocrática erigida para obstruir o acesso à verdade e encobrir a responsabilidade da Ré.</w:t>
      </w:r>
    </w:p>
    <w:p w14:paraId="4821C1A1" w14:textId="77777777" w:rsidR="00EA5AEA" w:rsidRDefault="00E94E64">
      <w:pPr>
        <w:spacing w:after="140" w:line="320" w:lineRule="auto"/>
        <w:jc w:val="both"/>
      </w:pPr>
      <w:r>
        <w:t xml:space="preserve">A suposta “validação” da operação desmorona sob o peso de sua própria inviabilidade jurídica: foi atribuída a pessoa cujas condições tecnológico-cognitivas a tornam manifestamente incapaz de compreender ou consentir qualquer transação digital. O que se verifica não é mera irregularidade contratual — é a criação unilateral de obrigação fictícia, configurando usurpação identitária de natureza dolosa conjugada à apropriação ilícita de renda essencial.</w:t>
      </w:r>
    </w:p>
    <w:p w14:paraId="4821C1C8" w14:textId="77777777" w:rsidR="00EA5AEA" w:rsidRDefault="00E94E64">
      <w:pPr>
        <w:spacing w:before="220" w:after="110"/>
      </w:pPr>
      <w:r>
        <w:rPr>
          <w:b/>
          <w:bCs/>
          <w:i/>
          <w:iCs/>
        </w:rPr>
        <w:t>4.2  ·  Sustentáculo do núcleo familiar — penúria agravada pela conduta negligente da Ré — inexistência de mecanismos eficazes de governança e prevenção a fraudes</w:t>
      </w:r>
    </w:p>
    <w:p w14:paraId="4821C1C9" w14:textId="77777777" w:rsidR="00EA5AEA" w:rsidRDefault="00E94E64">
      <w:pPr>
        <w:spacing w:after="140" w:line="320" w:lineRule="auto"/>
        <w:jc w:val="both"/>
      </w:pPr>
      <w:r>
        <w:t>A parte autora exerce, no seio de seu grupo familiar, papel insubstituível de sustentação material. O benefício previdenciário que percebe representa o único vínculo entre sua família e a possibilidade de subsistência: recurso escasso, minuciosamente gerido, fruto de uma lógica permanente de contenção e renúncia.</w:t>
      </w:r>
    </w:p>
    <w:p w14:paraId="4821C1CA" w14:textId="77777777" w:rsidR="00EA5AEA" w:rsidRDefault="00E94E64">
      <w:pPr>
        <w:spacing w:after="140" w:line="320" w:lineRule="auto"/>
        <w:jc w:val="both"/>
      </w:pPr>
      <w:r>
        <w:t>Os descontos periódicos fundados em suposto contrato jamais autorizado promovem erosão ilegítima do mínimo existencial. A subtração de verba alimentar resulta em privação de alimentação adequada, diferimento de tratamentos médicos e ameaça à estabilidade habitacional.</w:t>
      </w:r>
    </w:p>
    <w:p w14:paraId="4821C1CB" w14:textId="77777777" w:rsidR="00EA5AEA" w:rsidRDefault="00E94E64">
      <w:pPr>
        <w:spacing w:after="140" w:line="320" w:lineRule="auto"/>
        <w:jc w:val="both"/>
      </w:pPr>
      <w:r>
        <w:t>A parte autora desconhece integralmente qualquer elemento da suposta operação creditícia: data de celebração, valor nominal, número de parcelas, taxas de juros, CET, canal de formalização e identidade do agente interveniente. Trata-se de imputação de débito desancorada da realidade, destituída de qualquer vínculo com a manifestação volitiva da titular.</w:t>
      </w:r>
    </w:p>
    <w:p w14:paraId="4821C1CC" w14:textId="77777777" w:rsidR="00EA5AEA" w:rsidRDefault="00E94E64">
      <w:pPr>
        <w:spacing w:after="140" w:line="320" w:lineRule="auto"/>
        <w:jc w:val="both"/>
      </w:pPr>
      <w:r>
        <w:t>No plano institucional, é patente a inexistência de qualquer sistema eficaz de governança ou prevenção à fraude por parte da Ré: nenhuma análise de perfil foi realizada; nenhum cruzamento de dados, verificação de compatibilidade socioeconômica ou autenticação biométrica fidedigna foi observada. A alegada contratação foi processada de forma automatizada e despersonalizada, sem supervisão humana e sem qualquer análise de plausibilidade.</w:t>
      </w:r>
    </w:p>
    <w:p w14:paraId="4821C1CD" w14:textId="77777777" w:rsidR="00EA5AEA" w:rsidRDefault="00E94E64">
      <w:pPr>
        <w:spacing w:before="280" w:after="140"/>
      </w:pPr>
      <w:r>
        <w:rPr>
          <w:b/>
          <w:bCs/>
        </w:rPr>
        <w:t>5  ·  DA FUNDAMENTAÇÃO JURÍDICA</w:t>
      </w:r>
    </w:p>
    <w:p w14:paraId="4821C1CE" w14:textId="77777777" w:rsidR="00EA5AEA" w:rsidRDefault="00E94E64">
      <w:pPr>
        <w:spacing w:before="220" w:after="110"/>
      </w:pPr>
      <w:r>
        <w:rPr>
          <w:b/>
          <w:bCs/>
          <w:i/>
          <w:iCs/>
        </w:rPr>
        <w:t>5.1  ·  Caracterização inequívoca de relação de consumo — hipervulnerabilidade qualificada da parte autora ante o poder econômico-financeiro da Ré</w:t>
      </w:r>
    </w:p>
    <w:p w14:paraId="4821C1CF" w14:textId="77777777" w:rsidR="00EA5AEA" w:rsidRDefault="00E94E64">
      <w:pPr>
        <w:spacing w:after="140" w:line="320" w:lineRule="auto"/>
        <w:jc w:val="both"/>
      </w:pPr>
      <w:r>
        <w:t>A relação jurídica submetida à apreciação deste Juízo inscreve-se, com nitidez hermenêutica, no âmbito das relações de consumo, nos termos dos artigos 2º e 3º do Código de Defesa do Consumidor.</w:t>
      </w:r>
    </w:p>
    <w:p w14:paraId="4821C1D0" w14:textId="77777777" w:rsidR="00EA5AEA" w:rsidRDefault="00E94E64">
      <w:pPr>
        <w:spacing w:after="140" w:line="320" w:lineRule="auto"/>
        <w:jc w:val="both"/>
      </w:pPr>
      <w:r>
        <w:t xml:space="preserve">De um lado, a parte autora — consumidor final, hipervulnerável e economicamente fragilizado; do outro, a Ré — instituição financeira de grande porte, detentora do poder de estipular unilateralmente as condições de acesso ao crédito. Essa discrepância transcende a mera desproporção de recursos: constitui desequilíbrio de natureza ontológica, apto a neutralizar a autonomia privada e converter a liberdade contratual em ficção jurídica destituída de eficácia concreta, tornando a incidência do CDC não apenas cabível, mas imperativa.</w:t>
      </w:r>
    </w:p>
    <w:p w14:paraId="4821C1D1" w14:textId="77777777" w:rsidR="00EA5AEA" w:rsidRDefault="00E94E64">
      <w:pPr>
        <w:spacing w:after="140" w:line="320" w:lineRule="auto"/>
        <w:jc w:val="both"/>
      </w:pPr>
      <w:r>
        <w:t xml:space="preserve">A suposta relação obrigacional imputada ao demandante jamais ingressou no plano da existência jurídica. Inexistente qualquer manifestação de vontade livre e informada; inexistente o conhecimento prévio das cláusulas; inexistente qualquer ato hábil a comprovar adesão voluntária.</w:t>
      </w:r>
    </w:p>
    <w:p w14:paraId="4821C1D2" w14:textId="77777777" w:rsidR="00EA5AEA" w:rsidRDefault="00E94E64">
      <w:pPr>
        <w:spacing w:after="140" w:line="320" w:lineRule="auto"/>
        <w:jc w:val="both"/>
      </w:pPr>
      <w:r>
        <w:t>Ausentes a assinatura autêntica, o consentimento esclarecido e a autenticação biométrica válida, não se está diante de negócio anulável — mas de ato juridicamente inexistente, desprovido de efeitos desde a origem, não por vício de forma, mas pela ausência de seu pressuposto essencial: a vontade. Sem este fundamento, não há que se cogitar de validade, anulabilidade ou nulidade; há, sim, completa carência de elemento constitutivo.</w:t>
      </w:r>
    </w:p>
    <w:p w14:paraId="4821C1D3" w14:textId="77777777" w:rsidR="00EA5AEA" w:rsidRDefault="00E94E64">
      <w:pPr>
        <w:spacing w:after="140" w:line="320" w:lineRule="auto"/>
        <w:jc w:val="both"/>
      </w:pPr>
      <w:r>
        <w:t xml:space="preserve">A imposição dessa suposta obrigação configura ofensa direta aos alicerces axiológico-constitucionais do Estado Democrático de Direito. O artigo 1º, III, da CF/88 consagra a dignidade da pessoa humana como princípio orientador supremo. Tratando-se de beneficiário aposentado por invalidez, com incapacidade laborativa permanente reconhecida pela própria autarquia previdenciária, incide, ainda, a proteção reforçada prevista no artigo 9º, inciso VII, da Lei nº 13.146/2015. No plano infraconstitucional, o artigo 6º, III e IV, do CDC assegura ao consumidor o direito à informação inequívoca; os artigos 39, IV, e 51, IV, do CDC vedam o aproveitamento da fraqueza ou ignorância do consumidor; e os artigos 421 e 422 do CC/2002 exigem que os contratos se orientem pela boa-fé objetiva e pela função social, jamais servindo como instrumentos de legitimação de práticas abusivas.</w:t>
      </w:r>
    </w:p>
    <w:p w14:paraId="4821C1D4" w14:textId="77777777" w:rsidR="00EA5AEA" w:rsidRDefault="00E94E64">
      <w:pPr>
        <w:spacing w:before="220" w:after="110"/>
      </w:pPr>
      <w:r>
        <w:rPr>
          <w:b/>
          <w:bCs/>
          <w:i/>
          <w:iCs/>
        </w:rPr>
        <w:t>Necessidade imperativa de inversão do ônus da prova — hipossuficiência técnica — impossibilidade fática de produção probatória negativa</w:t>
      </w:r>
    </w:p>
    <w:p w14:paraId="4821C1D5" w14:textId="77777777" w:rsidR="00EA5AEA" w:rsidRDefault="00E94E64">
      <w:pPr>
        <w:spacing w:after="140" w:line="320" w:lineRule="auto"/>
        <w:jc w:val="both"/>
      </w:pPr>
      <w:r>
        <w:t>A presente demanda impõe a inversão do ônus da prova — não como simples artifício procedimental, mas como instrumento de correção de desequilíbrios estruturais em relações marcadas por acentuada assimetria de poder, informação e aptidão probatória.</w:t>
      </w:r>
    </w:p>
    <w:p w14:paraId="4821C1D6" w14:textId="77777777" w:rsidR="00EA5AEA" w:rsidRDefault="00E94E64">
      <w:pPr>
        <w:spacing w:after="140" w:line="320" w:lineRule="auto"/>
        <w:jc w:val="both"/>
      </w:pPr>
      <w:r>
        <w:t xml:space="preserve">A parte autora, beneficiário do INSS e titular exclusiva de benefício previdenciário de natureza alimentar, encontra-se em situação de hipervulnerabilidade que a insere, de maneira inequívoca, na categoria de consumidor em condição de hipossuficiência acentuada.</w:t>
      </w:r>
    </w:p>
    <w:p w14:paraId="4821C1D7" w14:textId="77777777" w:rsidR="00EA5AEA" w:rsidRDefault="00E94E64">
      <w:pPr>
        <w:spacing w:after="140" w:line="320" w:lineRule="auto"/>
        <w:jc w:val="both"/>
      </w:pPr>
      <w:r>
        <w:t xml:space="preserve">Exigir-lhe prova direta acerca da inexistência de contrato de empréstimo consignado supostamente celebrado por meios digitais ou biométricos constitui exigência processual destituída de qualquer razoabilidade. Pessoa que possui severas dificuldades de acesso à </w:t>
      </w:r>
      <w:r>
        <w:lastRenderedPageBreak/>
        <w:t>internet, jamais utilizou aplicativos bancários e desconhece o funcionamento de sistemas de autenticação biométrica não pode, por definição, demonstrar a ausência de ato que sequer possui condições técnico-cognitivas para compreender.</w:t>
      </w:r>
    </w:p>
    <w:p w14:paraId="4821C1D8" w14:textId="77777777" w:rsidR="00EA5AEA" w:rsidRDefault="00E94E64">
      <w:pPr>
        <w:spacing w:after="140" w:line="320" w:lineRule="auto"/>
        <w:jc w:val="both"/>
      </w:pPr>
      <w:r>
        <w:t>É precisamente neste contexto que se impõe a inversão do ônus probatório, nos termos do artigo 6º, inciso VIII, do Código de Defesa do Consumidor.</w:t>
      </w:r>
    </w:p>
    <w:p w14:paraId="4821C1D9" w14:textId="77777777" w:rsidR="00EA5AEA" w:rsidRDefault="00E94E64">
      <w:pPr>
        <w:spacing w:after="140" w:line="320" w:lineRule="auto"/>
        <w:jc w:val="both"/>
      </w:pPr>
      <w:r>
        <w:t>No caso em exame, ambos os requisitos legais estão inequivocamente preenchidos. A verossimilhança das alegações é incontestável: descontos sucessivos efetuados sem notificação prévia, sem entrega de contrato e sem qualquer interação demonstrada com a instituição financeira constituem indício robusto de operação fraudulenta. A hipossuficiência é igualmente manifesta: enquanto a parte autora é sujeito singular, desprovido de recursos técnicos e jurídicos, a parte ré é instituição de grande porte dotada de sistemas automatizados, logs de acesso, protocolos de autenticação biométrica e todo o aparato tecnológico-operacional hábil a comprovar — ou refutar — a alegada adesão.</w:t>
      </w:r>
    </w:p>
    <w:p w14:paraId="4821C1DA" w14:textId="77777777" w:rsidR="00EA5AEA" w:rsidRDefault="00E94E64">
      <w:pPr>
        <w:spacing w:after="140" w:line="320" w:lineRule="auto"/>
        <w:jc w:val="both"/>
      </w:pPr>
      <w:r>
        <w:t>É, portanto, à parte demandada, e não à parte demandante, que incumbe o ônus de demonstrar a existência real, válida e conscientemente consentida do suposto contrato. A promovente não detém acesso aos sistemas internos da instituição, não pode extrair registros de autenticação, não tem capacidade de requisitar gravações ou obter cópias de contratos supostamente assinados digitalmente — documentos que, caso existam, encontram-se sob controle exclusivo da instituição financeira.</w:t>
      </w:r>
    </w:p>
    <w:p w14:paraId="4821C1DB" w14:textId="77777777" w:rsidR="00EA5AEA" w:rsidRDefault="00E94E64">
      <w:pPr>
        <w:spacing w:after="140" w:line="320" w:lineRule="auto"/>
        <w:jc w:val="both"/>
      </w:pPr>
      <w:r>
        <w:t>Exigir da vítima de fraude que comprove a inexistência de ato gerado em sistema alheio ao seu domínio não apenas beira o impossível, como viola o contraditório, a isonomia processual e o acesso à justiça, consagrados no artigo 5º, incisos LIV e LV, da CF/88.</w:t>
      </w:r>
    </w:p>
    <w:p w14:paraId="4821C1DC" w14:textId="77777777" w:rsidR="00EA5AEA" w:rsidRDefault="00E94E64">
      <w:pPr>
        <w:spacing w:after="140" w:line="320" w:lineRule="auto"/>
        <w:jc w:val="both"/>
      </w:pPr>
      <w:r>
        <w:t>O Superior Tribunal de Justiça reconhece que a inversão do ônus probatório em relações bancárias de consumo não se limita à hipossuficiência econômica, abrangendo também a hipossuficiência jurídica e técnica — dado que raramente o consumidor detém todos os elementos caracterizadores do seu direito:</w:t>
      </w:r>
    </w:p>
    <w:p w14:paraId="4821C1DD" w14:textId="77777777" w:rsidR="00EA5AEA" w:rsidRDefault="00E94E64">
      <w:pPr>
        <w:spacing w:before="120" w:after="180" w:line="280" w:lineRule="auto"/>
        <w:ind w:left="720" w:right="360"/>
        <w:jc w:val="both"/>
      </w:pPr>
      <w:r>
        <w:rPr>
          <w:i/>
          <w:iCs/>
          <w:color w:val="374151"/>
          <w:sz w:val="20"/>
          <w:szCs w:val="20"/>
        </w:rPr>
        <w:t>APELAÇÃO CÍVEL. DIREITO PROCESSUAL CIVIL E DO CONSUMIDOR. CONTRATO BANCÁRIO. CÓDIGO DE DEFESA DO CONSUMIDOR. APLICABILIDADE. SÚMULA 297/STJ. HIPOSSUFICIÊNCIA JURÍDICA. DEVER DE INFORMAÇÃO DESCUMPRIDO. ART. 6.º, III, DO CDC. DESCONTOS INDEVIDOS. CARTÃO DE CRÉDITO CONSIGNADO. NÃO SOLICITADO PELO CONSUMIDOR. ÔNUS DA PROVA. INVERSÃO. DANO MORAL IN RE IPSA. CONFIGURADO. [...] A inversão do ônus da prova está patente no Código de Defesa do Consumidor, o qual tem como um de seus fundamentos a hipossuficiência do consumidor, não somente no âmbito econômico, mas também no jurídico e no técnico, uma vez que raras vezes o consumidor possui todos os dados caracterizadores do seu direito. (STJ, REsp 1917563/AM, Rel. Min. Marco Buzzi, Quarta Turma, j. 11.11.2019)</w:t>
      </w:r>
    </w:p>
    <w:p w14:paraId="4821C1DE" w14:textId="77777777" w:rsidR="00EA5AEA" w:rsidRDefault="00E94E64">
      <w:pPr>
        <w:spacing w:after="140" w:line="320" w:lineRule="auto"/>
        <w:jc w:val="both"/>
      </w:pPr>
      <w:r>
        <w:lastRenderedPageBreak/>
        <w:t>Requer-se, assim, que este Juízo determine a inversão do ônus da prova, impondo à ré a apresentação de todos os elementos hábeis a comprovar a efetiva, livre e esclarecida celebração do suposto contrato — sob pena de se presumir a inexistência do negócio jurídico e a ilegalidade da cobrança, nos termos do artigo 6º, inciso VIII, do CDC, c/c artigo 373, II, do CPC/2015.</w:t>
      </w:r>
    </w:p>
    <w:p w14:paraId="4821C1DF" w14:textId="77777777" w:rsidR="00EA5AEA" w:rsidRDefault="00E94E64">
      <w:pPr>
        <w:spacing w:before="220" w:after="110"/>
      </w:pPr>
      <w:r>
        <w:rPr>
          <w:b/>
          <w:bCs/>
          <w:i/>
          <w:iCs/>
        </w:rPr>
        <w:t>Ausência absoluta de manifestação volitiva — inexistência ontológica do negócio jurídico — descumprimento da Instrução Normativa INSS/PRES nº 138/2022</w:t>
      </w:r>
    </w:p>
    <w:p w14:paraId="4821C1E0" w14:textId="77777777" w:rsidR="00EA5AEA" w:rsidRDefault="00E94E64">
      <w:pPr>
        <w:spacing w:after="140" w:line="320" w:lineRule="auto"/>
        <w:jc w:val="both"/>
      </w:pPr>
      <w:r>
        <w:t>É postulado fundamental do Direito Contratual que a manifestação volitiva das partes, além de livre e desimpedida, deve ser consciente, informada e inequívoca — constituindo verdadeiro pressuposto de existência do negócio jurídico.</w:t>
      </w:r>
    </w:p>
    <w:p w14:paraId="4821C1E1" w14:textId="77777777" w:rsidR="00EA5AEA" w:rsidRDefault="00E94E64">
      <w:pPr>
        <w:spacing w:after="140" w:line="320" w:lineRule="auto"/>
        <w:jc w:val="both"/>
      </w:pPr>
      <w:r>
        <w:t>Trata-se de condição insuprimível, cuja ausência compromete não apenas a validade, mas a própria formação do vínculo obrigacional, conduzindo ao reconhecimento de sua inexistência ontológica e à insubsistência de quaisquer efeitos jurídicos que dele se pretendam derivar.</w:t>
      </w:r>
    </w:p>
    <w:p w14:paraId="4821C1E2" w14:textId="77777777" w:rsidR="00EA5AEA" w:rsidRDefault="00E94E64">
      <w:pPr>
        <w:spacing w:after="140" w:line="320" w:lineRule="auto"/>
        <w:jc w:val="both"/>
      </w:pPr>
      <w:r>
        <w:t xml:space="preserve">No caso em apreço, a parte demandante, beneficiário do Regime Geral de Previdência Social e titular de benefício previdenciário de natureza alimentar, foi surpreendida com descontos sobre seus proventos decorrentes de operação consignada que jamais foi por ela contratada.</w:t>
      </w:r>
    </w:p>
    <w:p w14:paraId="4821C1E3" w14:textId="77777777" w:rsidR="00EA5AEA" w:rsidRDefault="00E94E64">
      <w:pPr>
        <w:spacing w:after="140" w:line="320" w:lineRule="auto"/>
        <w:jc w:val="both"/>
      </w:pPr>
      <w:r>
        <w:t>A ausência absoluta de manifestação volitiva conduz à conclusão inelutável de que não se está diante de contrato viciado, anulável ou revisável, mas de relação jurídica inexistente no plano da constituição — um não-contrato, destituído de suporte fático mínimo, cuja suposta existência serve unicamente a conferir aparência de legalidade a uma operação substancialmente nula.</w:t>
      </w:r>
    </w:p>
    <w:p w14:paraId="4821C1E4" w14:textId="77777777" w:rsidR="00EA5AEA" w:rsidRDefault="00E94E64">
      <w:pPr>
        <w:spacing w:after="140" w:line="320" w:lineRule="auto"/>
        <w:jc w:val="both"/>
      </w:pPr>
      <w:r>
        <w:t>Ainda que se admitisse, por mera argumentação, a formalização telemática do contrato, restaria igualmente inviabilizada sua eficácia jurídica ante a inobservância das exigências estabelecidas pela Instrução Normativa INSS/PRES nº 138/2022 — diploma infralegal de natureza cogente no âmbito das consignações em folha de pagamento de benefícios previdenciários.</w:t>
      </w:r>
    </w:p>
    <w:p w14:paraId="4821C1E5" w14:textId="77777777" w:rsidR="00EA5AEA" w:rsidRDefault="00E94E64">
      <w:pPr>
        <w:spacing w:after="140" w:line="320" w:lineRule="auto"/>
        <w:jc w:val="both"/>
      </w:pPr>
      <w:r>
        <w:t>Referida norma estabelece requisitos cumulativos para a validade das operações de crédito consignado vinculadas a proventos pagos pelo INSS, exigindo que a autorização seja expressa, documentada e rastreável, vedando, de forma peremptória, autorizações tácitas, presumidas ou obtidas por vias informais.</w:t>
      </w:r>
    </w:p>
    <w:p w14:paraId="4821C1E6" w14:textId="77777777" w:rsidR="00EA5AEA" w:rsidRDefault="00E94E64">
      <w:pPr>
        <w:spacing w:after="140" w:line="320" w:lineRule="auto"/>
        <w:jc w:val="both"/>
      </w:pPr>
      <w:r>
        <w:t>Afigura-se, ipso facto, flagrantemente ilícita a conduta da instituição financeira que, à revelia da IN nº 138/2022 e dos princípios basilares do direito contratual, promoveu descontos sobre benefício de caráter alimentar sem contrato válido, sem consentimento livre e esclarecido e sem observância das formalidades mínimas de segurança exigidas.</w:t>
      </w:r>
    </w:p>
    <w:p w14:paraId="4821C1E7" w14:textId="77777777" w:rsidR="00EA5AEA" w:rsidRDefault="00E94E64">
      <w:pPr>
        <w:spacing w:after="140" w:line="320" w:lineRule="auto"/>
        <w:jc w:val="both"/>
      </w:pPr>
      <w:r>
        <w:lastRenderedPageBreak/>
        <w:t>O que se extrai do conjunto fático-probatório não é erro negocial sanável, mas vício ontológico: a ausência de ato jurídico.</w:t>
      </w:r>
    </w:p>
    <w:p w14:paraId="4821C1E8" w14:textId="77777777" w:rsidR="00EA5AEA" w:rsidRDefault="00E94E64">
      <w:pPr>
        <w:spacing w:after="140" w:line="320" w:lineRule="auto"/>
        <w:jc w:val="both"/>
      </w:pPr>
      <w:r>
        <w:t>A jurisprudência é consonante. O Superior Tribunal de Justiça, pela Súmula 479, consagrou a responsabilidade objetiva das instituições financeiras pelos danos decorrentes de fraudes, por constituírem fortuito interno inerente ao risco do empreendimento.</w:t>
      </w:r>
    </w:p>
    <w:p w14:paraId="4821C1E9" w14:textId="77777777" w:rsidR="00EA5AEA" w:rsidRDefault="00E94E64">
      <w:pPr>
        <w:spacing w:before="120" w:after="180" w:line="280" w:lineRule="auto"/>
        <w:ind w:left="720" w:right="360"/>
        <w:jc w:val="both"/>
      </w:pPr>
      <w:r>
        <w:rPr>
          <w:i/>
          <w:iCs/>
          <w:color w:val="374151"/>
          <w:sz w:val="20"/>
          <w:szCs w:val="20"/>
        </w:rPr>
        <w:t>CONSUMIDOR. PROCESSUAL CIVIL. RECURSO ESPECIAL. AÇÃO DECLARATÓRIA DE INEXISTÊNCIA DE DÉBITOS. DEVER DE SEGURANÇA. FRAUDE PERPETRADA POR TERCEIRO. RESPONSABILIDADE OBJETIVA DA INSTITUIÇÃO FINANCEIRA. [...] O dever de segurança é noção que abrange tanto a integridade psicofísica do consumidor, quanto sua integridade patrimonial, sendo dever da instituição financeira verificar a regularidade e a idoneidade das transações realizadas pelos consumidores, desenvolvendo mecanismos capazes de dificultar fraudes perpetradas por terceiros, independentemente de qualquer ato dos consumidores. (STJ, REsp 2.052.228/DF, Rel. Min. Nancy Andrighi, Terceira Turma, j. 12.09.2023)</w:t>
      </w:r>
    </w:p>
    <w:p w14:paraId="4821C1EA" w14:textId="77777777" w:rsidR="00EA5AEA" w:rsidRDefault="00E94E64">
      <w:pPr>
        <w:spacing w:after="140" w:line="320" w:lineRule="auto"/>
        <w:jc w:val="both"/>
      </w:pPr>
      <w:r>
        <w:t>Não compete a este Juízo a submissão passiva à lógica do fato consumado, nem a outorga de validade jurídica a vínculos nascidos da exclusão cognitiva, da opacidade tecnológica e da apropriação ilegítima de verba essencial à subsistência humana. O arcabouço normativo é uníssono, a jurisprudência é firme e os fatos são incontroversos: a pretensão da Ré é juridicamente insustentável.</w:t>
      </w:r>
    </w:p>
    <w:p w14:paraId="4821C1EB" w14:textId="77777777" w:rsidR="00EA5AEA" w:rsidRDefault="00E94E64">
      <w:pPr>
        <w:spacing w:before="220" w:after="110"/>
      </w:pPr>
      <w:r>
        <w:rPr>
          <w:b/>
          <w:bCs/>
          <w:i/>
          <w:iCs/>
        </w:rPr>
        <w:t>Responsabilidade objetiva da instituição financeira — repetição em dobro do indébito (CDC art. 42, parágrafo único)</w:t>
      </w:r>
    </w:p>
    <w:p w14:paraId="4821C1EC" w14:textId="77777777" w:rsidR="00EA5AEA" w:rsidRDefault="00E94E64">
      <w:pPr>
        <w:spacing w:after="140" w:line="320" w:lineRule="auto"/>
        <w:jc w:val="both"/>
      </w:pPr>
      <w:r>
        <w:t>No âmbito do microssistema protetivo do Direito do Consumidor, a responsabilidade objetiva do fornecedor de serviços erige-se como princípio estruturante da ordem normativa vigente, consagrado no artigo 14 do Código de Defesa do Consumidor.</w:t>
      </w:r>
    </w:p>
    <w:p w14:paraId="4821C1ED" w14:textId="77777777" w:rsidR="00EA5AEA" w:rsidRDefault="00E94E64">
      <w:pPr>
        <w:spacing w:after="140" w:line="320" w:lineRule="auto"/>
        <w:jc w:val="both"/>
      </w:pPr>
      <w:r>
        <w:t>A responsabilidade funda-se exclusivamente na demonstração do serviço defeituoso, do dano sofrido e do nexo de causalidade entre ambos — sendo absolutamente irrelevante a investigação acerca de dolo ou culpa stricto sensu. Assenta-se na teoria do risco do empreendimento: quem ingressa no mercado de consumo com escopo lucrativo deve suportar os riscos inerentes à atividade exercida, impondo-se ao fornecedor o dever jurídico de prevenir danos, implementar mecanismos eficazes de controle e assegurar a qualidade e segurança do serviço ofertado.</w:t>
      </w:r>
    </w:p>
    <w:p w14:paraId="4821C1EE" w14:textId="77777777" w:rsidR="00EA5AEA" w:rsidRDefault="00E94E64">
      <w:pPr>
        <w:spacing w:after="140" w:line="320" w:lineRule="auto"/>
        <w:jc w:val="both"/>
      </w:pPr>
      <w:r>
        <w:t>No caso em exame, configura-se como fato incontroverso que a parte demandante teve seu benefício previdenciário reduzido sem aviso prévio, em razão de descontos efetuados unilateralmente pela demandada a título de suposto contrato de mútuo consignado que jamais consentiu nem formalizou.</w:t>
      </w:r>
    </w:p>
    <w:p w14:paraId="4821C1EF" w14:textId="77777777" w:rsidR="00EA5AEA" w:rsidRDefault="00E94E64">
      <w:pPr>
        <w:spacing w:after="140" w:line="320" w:lineRule="auto"/>
        <w:jc w:val="both"/>
      </w:pPr>
      <w:r>
        <w:lastRenderedPageBreak/>
        <w:t>Cuida-se de típica hipótese de fortuito interno, decorrente do risco do empreendimento, insuscetível de afastar a obrigação reparatória da instituição financeira, cuja conduta viola frontalmente os deveres anexos à boa-fé objetiva — notadamente os deveres de informação, lealdade e transparência.</w:t>
      </w:r>
    </w:p>
    <w:p w14:paraId="4821C1F0" w14:textId="77777777" w:rsidR="00EA5AEA" w:rsidRDefault="00E94E64">
      <w:pPr>
        <w:spacing w:after="140" w:line="320" w:lineRule="auto"/>
        <w:jc w:val="both"/>
      </w:pPr>
      <w:r>
        <w:t>Configurada a responsabilidade objetiva, impõe-se, por força do artigo 42, parágrafo único, do CDC, a restituição em dobro dos valores indevidamente retidos, acrescidos de correção monetária e juros legais.</w:t>
      </w:r>
    </w:p>
    <w:p w14:paraId="4821C1F1" w14:textId="77777777" w:rsidR="00EA5AEA" w:rsidRDefault="00E94E64">
      <w:pPr>
        <w:spacing w:after="140" w:line="320" w:lineRule="auto"/>
        <w:jc w:val="both"/>
      </w:pPr>
      <w:r>
        <w:t>O Superior Tribunal de Justiça, pela sua Corte Especial, pacificou o entendimento de que a repetição em dobro do indébito prescinde da natureza do elemento volitivo do fornecedor, sendo cabível sempre que a cobrança indevida consubstanciar conduta contrária à boa-fé objetiva:</w:t>
      </w:r>
    </w:p>
    <w:p w14:paraId="4821C1F2" w14:textId="77777777" w:rsidR="00EA5AEA" w:rsidRDefault="00E94E64">
      <w:pPr>
        <w:spacing w:before="120" w:after="180" w:line="280" w:lineRule="auto"/>
        <w:ind w:left="720" w:right="360"/>
        <w:jc w:val="both"/>
      </w:pPr>
      <w:r>
        <w:rPr>
          <w:i/>
          <w:iCs/>
          <w:color w:val="374151"/>
          <w:sz w:val="20"/>
          <w:szCs w:val="20"/>
        </w:rPr>
        <w:t>A repetição em dobro, prevista no parágrafo único do art. 42 do CDC, é cabível quando a cobrança indevida consubstanciar conduta contrária à boa-fé objetiva, ou seja, deve ocorrer independentemente da natureza do elemento volitivo. (STJ, EAREsp 676.608/RS, Corte Especial, j. 21.10.2020)</w:t>
      </w:r>
    </w:p>
    <w:p w14:paraId="4821C1F3" w14:textId="77777777" w:rsidR="00EA5AEA" w:rsidRDefault="00E94E64">
      <w:pPr>
        <w:spacing w:after="140" w:line="320" w:lineRule="auto"/>
        <w:jc w:val="both"/>
      </w:pPr>
      <w:r>
        <w:t>Requer-se, por conseguinte, a condenação da instituição financeira à restituição em dobro de todos os valores descontados do benefício previdenciário da parte autora, devidamente corrigidos e acrescidos de juros legais — medida que não representa apenas direito da parte lesada, mas imposição normativa destinada a preservar a integridade do sistema consumerista e a coibir, com eficácia dissuasória, práticas predatórias que se disseminam sistematicamente contra a população hipervulnerável.</w:t>
      </w:r>
    </w:p>
    <w:p w14:paraId="4821C1F4" w14:textId="77777777" w:rsidR="00EA5AEA" w:rsidRDefault="00E94E64">
      <w:pPr>
        <w:spacing w:before="220" w:after="110"/>
      </w:pPr>
      <w:r>
        <w:rPr>
          <w:b/>
          <w:bCs/>
          <w:i/>
          <w:iCs/>
        </w:rPr>
        <w:t xml:space="preserve">Imperatividade da reparação por danos morais — aposentado por invalidez em condição de hipervulnerabilidade — dano moral in re ipsa</w:t>
      </w:r>
    </w:p>
    <w:p w14:paraId="4821C1F5" w14:textId="77777777" w:rsidR="00EA5AEA" w:rsidRDefault="00E94E64">
      <w:pPr>
        <w:spacing w:after="140" w:line="320" w:lineRule="auto"/>
        <w:jc w:val="both"/>
      </w:pPr>
      <w:r>
        <w:t>A reparação por danos morais não constitui liberalidade judicial, mas obrigação jurídica decorrente da violação de deveres constituídos, em sintonia com os princípios da boa-fé objetiva e da confiança legítima.</w:t>
      </w:r>
    </w:p>
    <w:p w14:paraId="4821C1F6" w14:textId="77777777" w:rsidR="00EA5AEA" w:rsidRDefault="00E94E64">
      <w:pPr>
        <w:spacing w:after="140" w:line="320" w:lineRule="auto"/>
        <w:jc w:val="both"/>
      </w:pPr>
      <w:r>
        <w:t>O Código Civil de 2002, em seus artigos 186 e 927, consagra o regime geral da responsabilidade civil, impondo a reparação por todo ato ilícito que cause lesão a outrem, ainda que exclusivamente moral, independentemente de prejuízo econômico mensurável. No âmbito consumerista, este regime é reforçado pelo artigo 14 do CDC, que estabelece a responsabilidade objetiva do fornecedor.</w:t>
      </w:r>
    </w:p>
    <w:p w14:paraId="4821C1F7" w14:textId="77777777" w:rsidR="00EA5AEA" w:rsidRDefault="00E94E64">
      <w:pPr>
        <w:spacing w:after="140" w:line="320" w:lineRule="auto"/>
        <w:jc w:val="both"/>
      </w:pPr>
      <w:r>
        <w:t xml:space="preserve">A parte autora — cidadão em estado de hipervulnerabilidade e economicamente dependente de seus proventos previdenciários — foi submetida a descontos indevidos praticados por instituição financeira que jamais comprovou a existência de relação contratual válida. Não se trata de equívoco isolado, mas de ilicitude qualificada, perpetrada de forma reiterada, que atingiu diretamente o núcleo essencial da dignidade do Autor, em manifesta afronta à Instrução Normativa INSS nº 138/2022.</w:t>
      </w:r>
    </w:p>
    <w:p w14:paraId="4821C1F8" w14:textId="77777777" w:rsidR="00EA5AEA" w:rsidRDefault="00E94E64">
      <w:pPr>
        <w:spacing w:after="140" w:line="320" w:lineRule="auto"/>
        <w:jc w:val="both"/>
      </w:pPr>
      <w:r>
        <w:t xml:space="preserve">A doutrina contemporânea reconhece a função tripartite da reparação moral — compensatória, punitiva e preventiva —, exigindo que o arbitramento da indenização considere a gravidade da conduta, a condição de hipervulnerabilidade da vítima, a intensidade do abalo psicológico suportado e a necessidade de desestímulo à reiteração da prática lesiva. Soma-se a essa dimensão a configuração de dano existencial, decorrente da própria privação contínua de verba alimentar, com efeitos sobre a organização da vida do Autor — sua rotina, sua autonomia e sua dignidade. Esse vetor, embora não constitua pedido autônomo, integra e justifica o quantum reparatório.</w:t>
      </w:r>
    </w:p>
    <w:p w14:paraId="4821C1F9" w14:textId="77777777" w:rsidR="00EA5AEA" w:rsidRDefault="00E94E64">
      <w:pPr>
        <w:spacing w:after="140" w:line="320" w:lineRule="auto"/>
        <w:jc w:val="both"/>
      </w:pPr>
      <w:r>
        <w:t>O Superior Tribunal de Justiça tem reiteradamente reconhecido a configuração do dano moral in re ipsa nos casos de desconto indevido sobre benefício previdenciário de natureza alimentar, sendo desnecessária a prova de prejuízo concreto — bastando a demonstração da própria prática ilícita para que surja o dever de reparar.</w:t>
      </w:r>
    </w:p>
    <w:p w14:paraId="4821C1FA" w14:textId="77777777" w:rsidR="00EA5AEA" w:rsidRDefault="00E94E64">
      <w:pPr>
        <w:spacing w:before="120" w:after="180" w:line="280" w:lineRule="auto"/>
        <w:ind w:left="720" w:right="360"/>
        <w:jc w:val="both"/>
      </w:pPr>
      <w:r>
        <w:rPr>
          <w:i/>
          <w:iCs/>
          <w:color w:val="374151"/>
          <w:sz w:val="20"/>
          <w:szCs w:val="20"/>
        </w:rPr>
        <w:t>In casu, o débito direto no benefício do consumidor, reduzindo seus proventos, sem contrato válido a amparar tais descontos, caracteriza dano moral in re ipsa, ou seja, presumido, decorrente da própria existência do ato, não exigindo a prova do prejuízo. (STJ, REsp 1963765, Rel. Min. Ricardo Villas Bôas Cueva, Terceira Turma, j. 22.11.2021)</w:t>
      </w:r>
    </w:p>
    <w:p w14:paraId="4821C205" w14:textId="4E0AD329" w:rsidR="00EA5AEA" w:rsidRDefault="00E94E64" w:rsidP="000B380D">
      <w:pPr>
        <w:spacing w:after="140" w:line="320" w:lineRule="auto"/>
        <w:jc w:val="both"/>
      </w:pPr>
      <w:r>
        <w:t xml:space="preserve">Requer-se que o </w:t>
      </w:r>
      <w:r>
        <w:rPr>
          <w:i/>
          <w:iCs/>
        </w:rPr>
        <w:t>quantum</w:t>
      </w:r>
      <w:r>
        <w:t xml:space="preserve"> indenizatório seja arbitrado no montante de </w:t>
      </w:r>
      <w:r>
        <w:rPr>
          <w:b/>
          <w:bCs/>
          <w:i/>
          <w:iCs/>
          <w:color w:val="B45309"/>
        </w:rPr>
        <w:t xml:space="preserve">R$ </w:t>
      </w:r>
      <w:r w:rsidR="00B875E2">
        <w:rPr>
          <w:b/>
          <w:bCs/>
          <w:i/>
          <w:iCs/>
          <w:color w:val="B45309"/>
        </w:rPr>
        <w:t>4</w:t>
      </w:r>
      <w:r>
        <w:rPr>
          <w:b/>
          <w:bCs/>
          <w:i/>
          <w:iCs/>
          <w:color w:val="B45309"/>
        </w:rPr>
        <w:t>0.000</w:t>
      </w:r>
      <w:r w:rsidR="004B4CE4">
        <w:rPr>
          <w:b/>
          <w:bCs/>
          <w:i/>
          <w:iCs/>
          <w:color w:val="B45309"/>
        </w:rPr>
        <w:t>,00</w:t>
      </w:r>
      <w:r>
        <w:t>, valor consentâneo com os padrões jurisprudenciais dominantes, orientado pelos princípios da razoabilidade e proporcionalidade, e apto a cumprir sua dupla finalidade compensatória e pedagógica.</w:t>
      </w:r>
    </w:p>
    <w:p w14:paraId="4821C19E" w14:textId="77777777" w:rsidR="00EA5AEA" w:rsidRDefault="00E94E64">
      <w:pPr>
        <w:spacing w:before="280" w:after="140"/>
      </w:pPr>
      <w:r>
        <w:rPr>
          <w:b/>
          <w:bCs/>
        </w:rPr>
        <w:t xml:space="preserve">6  ·  DA IMPERATIVIDADE DA TUTELA PROVISÓRIA DE URGÊNCIA</w:t>
      </w:r>
    </w:p>
    <w:p w14:paraId="4821C1A0" w14:textId="77777777" w:rsidR="00EA5AEA" w:rsidRDefault="00E94E64">
      <w:pPr>
        <w:spacing w:before="220" w:after="110"/>
      </w:pPr>
      <w:r>
        <w:rPr>
          <w:b/>
          <w:bCs/>
          <w:i/>
          <w:iCs/>
        </w:rPr>
        <w:t xml:space="preserve">Configuração do fumus boni iuris e do periculum in mora — natureza alimentar da verba — necessidade de cessação imediata dos descontos</w:t>
      </w:r>
    </w:p>
    <w:p w14:paraId="4821C1A1" w14:textId="77777777" w:rsidR="00EA5AEA" w:rsidRDefault="00E94E64">
      <w:pPr>
        <w:spacing w:after="140" w:line="320" w:lineRule="auto"/>
        <w:jc w:val="both"/>
      </w:pPr>
      <w:r>
        <w:t xml:space="preserve">As tutelas provisórias configuram instrumentos essenciais à prestação jurisdicional célere, em sintonia com os princípios insculpidos no artigo 5º, incisos XXXV e LIV, da Constituição Federal de 1988.</w:t>
      </w:r>
    </w:p>
    <w:p w14:paraId="4821C1A1" w14:textId="77777777" w:rsidR="00EA5AEA" w:rsidRDefault="00E94E64">
      <w:pPr>
        <w:spacing w:after="140" w:line="320" w:lineRule="auto"/>
        <w:jc w:val="both"/>
      </w:pPr>
      <w:r>
        <w:t xml:space="preserve">Dentre suas modalidades, destaca-se a tutela de urgência de natureza antecipatória, prevista no artigo 300 do CPC/2015, cuja concessão exige a conjugação do fumus boni iuris — plausibilidade jurídica da pretensão — e do periculum in mora — risco concreto de perecimento ou esvaziamento do bem jurídico tutelado.</w:t>
      </w:r>
    </w:p>
    <w:p w14:paraId="4821C1A1" w14:textId="77777777" w:rsidR="00EA5AEA" w:rsidRDefault="00E94E64">
      <w:pPr>
        <w:spacing w:after="140" w:line="320" w:lineRule="auto"/>
        <w:jc w:val="both"/>
      </w:pPr>
      <w:r>
        <w:t xml:space="preserve">O fumus boni iuris é robustamente evidenciado pela prova documental acostada aos autos, em especial os extratos de pagamento que comprovam a existência de descontos compulsórios sobre os proventos da parte autora. A ausência de contrato assinado, de manifestação volitiva válida e de qualquer comprovação de regularidade formal da contratação subtrai qualquer vestígio de legitimidade à conduta da Ré.</w:t>
      </w:r>
    </w:p>
    <w:p w14:paraId="4821C1A1" w14:textId="77777777" w:rsidR="00EA5AEA" w:rsidRDefault="00E94E64">
      <w:pPr>
        <w:spacing w:after="140" w:line="320" w:lineRule="auto"/>
        <w:jc w:val="both"/>
      </w:pPr>
      <w:r>
        <w:t xml:space="preserve">O periculum in mora revela-se com nitidez ainda maior. A parte autora é cidadão em estado de hipervulnerabilidade e dependente exclusivo de benefício de natureza alimentar. A cada ciclo mensal em que os descontos indevidos persistem, renova-se a supressão arbitrária de parcela essencial de seus rendimentos, comprometendo diretamente sua capacidade de adquirir alimentos, medicamentos e demais bens indispensáveis a uma existência compatível com a dignidade mínima assegurada pelo ordenamento.</w:t>
      </w:r>
    </w:p>
    <w:p w14:paraId="4821C1A1" w14:textId="77777777" w:rsidR="00EA5AEA" w:rsidRDefault="00E94E64">
      <w:pPr>
        <w:spacing w:after="140" w:line="320" w:lineRule="auto"/>
        <w:jc w:val="both"/>
      </w:pPr>
      <w:r>
        <w:t xml:space="preserve">A inércia judicial, nesse quadro, não representa mera omissão formal — configura conivência com a contínua agravação da ofensa.</w:t>
      </w:r>
    </w:p>
    <w:p w14:paraId="4821C1A1" w14:textId="77777777" w:rsidR="00EA5AEA" w:rsidRDefault="00E94E64">
      <w:pPr>
        <w:spacing w:after="140" w:line="320" w:lineRule="auto"/>
        <w:jc w:val="both"/>
      </w:pPr>
      <w:r>
        <w:t xml:space="preserve">O Tribunal de Justiça do Estado da Bahia, em reiteradas decisões, tem reconhecido a presença dos requisitos do artigo 300 do CPC/2015 em situações análogas, deferindo a suspensão dos descontos sobre benefício previdenciário como tutela de urgência, com fixação de astreinte por evento inadimplido — dado que os descontos se renovam mensalmente:</w:t>
      </w:r>
    </w:p>
    <w:p w14:paraId="4821C1DD" w14:textId="77777777" w:rsidR="00EA5AEA" w:rsidRDefault="00E94E64">
      <w:pPr>
        <w:spacing w:before="120" w:after="180" w:line="280" w:lineRule="auto"/>
        <w:ind w:left="720" w:right="360"/>
        <w:jc w:val="both"/>
      </w:pPr>
      <w:r>
        <w:rPr>
          <w:i/>
          <w:iCs/>
          <w:sz w:val="20"/>
          <w:szCs w:val="20"/>
        </w:rPr>
        <w:t xml:space="preserve">CONSUMIDOR E PROCESSUAL CIVIL. AÇÃO DECLARATÓRIA E INDENIZATÓRIA. EMPRÉSTIMO CONSIGNADO. SUPOSTA FRAUDE. TUTELA DE URGÊNCIA. REQUISITOS. CONSTATAÇÃO. [...] Pendente a discussão acerca da efetiva contratação pelo consumidor, é viável o deferimento da tutela de urgência, com suspensão dos descontos do contrato dito fraudulento, enquanto pendente a instrução do feito, em razão da impossibilidade da produção de prova negativa. O perigo de dano ao consumidor advém da natureza alimentar da verba, cuja continuidade dos descontos pode comprometer seu próprio sustento. A astreinte deve ser aplicada por evento inadimplido quando envolver empréstimo sobre reserva de margem consignável em benefício previdenciário, já que os descontos são realizados com periodicidade mensal.</w:t>
      </w:r>
    </w:p>
    <w:p w14:paraId="4821C1A1" w14:textId="77777777" w:rsidR="00EA5AEA" w:rsidRDefault="00E94E64">
      <w:pPr>
        <w:spacing w:after="140" w:line="320" w:lineRule="auto"/>
        <w:jc w:val="both"/>
      </w:pPr>
      <w:r>
        <w:t xml:space="preserve">Requer-se, assim, que este Juízo defira a tutela provisória de urgência, determinando a imediata suspensão dos descontos incidentes sobre o benefício previdenciário do Autor, sob pena de multa por evento inadimplido, como medida imprescindível à preservação do mínimo existencial e à efetividade da prestação jurisdicional.</w:t>
      </w:r>
    </w:p>
    <w:p w14:paraId="4821C206" w14:textId="77777777" w:rsidR="00EA5AEA" w:rsidRDefault="00E94E64">
      <w:pPr>
        <w:spacing w:before="280" w:after="140"/>
      </w:pPr>
      <w:r>
        <w:rPr>
          <w:b/>
          <w:bCs/>
        </w:rPr>
        <w:t>DOS REQUERIMENTOS</w:t>
      </w:r>
    </w:p>
    <w:p w14:paraId="4821C207" w14:textId="77777777" w:rsidR="00EA5AEA" w:rsidRDefault="00E94E64">
      <w:pPr>
        <w:spacing w:after="140" w:line="320" w:lineRule="auto"/>
        <w:jc w:val="both"/>
      </w:pPr>
      <w:r>
        <w:t>Diante do exposto, requer-se a este Juízo:</w:t>
      </w:r>
    </w:p>
    <w:p w14:paraId="4821C208" w14:textId="77777777" w:rsidR="00EA5AEA" w:rsidRDefault="00E94E64">
      <w:pPr>
        <w:pStyle w:val="PargrafodaLista"/>
        <w:numPr>
          <w:ilvl w:val="0"/>
          <w:numId w:val="3"/>
        </w:numPr>
        <w:spacing w:after="160" w:line="320" w:lineRule="auto"/>
        <w:jc w:val="both"/>
      </w:pPr>
      <w:r>
        <w:t>a concessão do benefício da gratuidade de justiça, nos termos do artigo 98, § 1º, do CPC/2015, em razão da hipervulnerabilidade da parte autora;</w:t>
      </w:r>
    </w:p>
    <w:p w14:paraId="4821C209" w14:textId="77777777" w:rsidR="00EA5AEA" w:rsidRDefault="00E94E64">
      <w:pPr>
        <w:pStyle w:val="PargrafodaLista"/>
        <w:numPr>
          <w:ilvl w:val="0"/>
          <w:numId w:val="3"/>
        </w:numPr>
        <w:spacing w:after="160" w:line="320" w:lineRule="auto"/>
        <w:jc w:val="both"/>
      </w:pPr>
      <w:r>
        <w:t>a dispensa da audiência de conciliação, diante do comportamento anticonciliatório persistente da Ré, prosseguindo o feito diretamente à fase instrutória;</w:t>
      </w:r>
    </w:p>
    <w:p w14:paraId="4821C20A" w14:textId="77777777" w:rsidR="00EA5AEA" w:rsidRDefault="00E94E64">
      <w:pPr>
        <w:pStyle w:val="PargrafodaLista"/>
        <w:numPr>
          <w:ilvl w:val="0"/>
          <w:numId w:val="3"/>
        </w:numPr>
        <w:spacing w:after="160" w:line="320" w:lineRule="auto"/>
        <w:jc w:val="both"/>
      </w:pPr>
      <w:r>
        <w:t>o deferimento da inversão do ônus da prova, nos termos do artigo 6º, VIII, do CDC, em razão da hipossuficiência da parte autora e da verossimilhança das alegações;</w:t>
      </w:r>
    </w:p>
    <w:p w14:paraId="4821C20B" w14:textId="77777777" w:rsidR="00EA5AEA" w:rsidRDefault="00E94E64">
      <w:pPr>
        <w:pStyle w:val="PargrafodaLista"/>
        <w:numPr>
          <w:ilvl w:val="0"/>
          <w:numId w:val="3"/>
        </w:numPr>
        <w:spacing w:after="160" w:line="320" w:lineRule="auto"/>
        <w:jc w:val="both"/>
      </w:pPr>
      <w:r>
        <w:t>a citação da Ré para apresentar contestação no prazo legal, sob pena de revelia e presunção de veracidade dos fatos articulados, nos termos do artigo 344 do CPC/2015;</w:t>
      </w:r>
    </w:p>
    <w:p w14:paraId="4821C208" w14:textId="77777777" w:rsidR="00EA5AEA" w:rsidRDefault="00E94E64">
      <w:pPr>
        <w:pStyle w:val="PargrafodaLista"/>
        <w:numPr>
          <w:ilvl w:val="0"/>
          <w:numId w:val="3"/>
        </w:numPr>
        <w:spacing w:after="160" w:line="320" w:lineRule="auto"/>
        <w:jc w:val="both"/>
      </w:pPr>
      <w:r>
        <w:t xml:space="preserve">a concessão da </w:t>
      </w:r>
      <w:r>
        <w:rPr>
          <w:b/>
        </w:rPr>
        <w:t xml:space="preserve">TUTELA PROVISÓRIA DE URGÊNCIA</w:t>
      </w:r>
      <w:r>
        <w:t xml:space="preserve">, em caráter liminar, com fundamento no artigo 300 do CPC/2015, determinando-se à instituição financeira Ré, de forma imediata e incondicionada: (i) a suspensão integral dos descontos incidentes sobre o benefício previdenciário do Autor vinculados ao contrato de cartão impugnado, bem como a baixa da reserva de margem consignável (RMC) a ele vinculada, sob pena de multa por evento de descumprimento no valor de R$ 1.518,00, nos termos do artigo 537 do CPC/2015; (ii) a vedação de novos lançamentos, cobranças ou descontos relativos ao objeto impugnado ou a qualquer outro vínculo não validado expressamente por decisão judicial, sob igual penalidade; e (iii) a expedição de ofício ao INSS para suspensão imediata de todos os descontos vinculados ao objeto questionado e a recomposição integral do valor líquido do benefício;</w:t>
      </w:r>
    </w:p>
    <w:p w14:paraId="4821C210" w14:textId="77777777" w:rsidR="00EA5AEA" w:rsidRDefault="00E94E64">
      <w:pPr>
        <w:pStyle w:val="PargrafodaLista"/>
        <w:numPr>
          <w:ilvl w:val="0"/>
          <w:numId w:val="3"/>
        </w:numPr>
        <w:spacing w:after="160" w:line="320" w:lineRule="auto"/>
        <w:jc w:val="both"/>
      </w:pPr>
      <w:r>
        <w:rPr>
          <w:b/>
          <w:bCs/>
        </w:rPr>
        <w:t>no mérito, a procedência integral da ação, com:</w:t>
      </w:r>
    </w:p>
    <w:p w14:paraId="4821C211" w14:textId="77777777" w:rsidR="00EA5AEA" w:rsidRDefault="00E94E64">
      <w:pPr>
        <w:pStyle w:val="PargrafodaLista"/>
        <w:numPr>
          <w:ilvl w:val="1"/>
          <w:numId w:val="4"/>
        </w:numPr>
        <w:spacing w:after="120" w:line="320" w:lineRule="auto"/>
        <w:jc w:val="both"/>
      </w:pPr>
      <w:r>
        <w:t xml:space="preserve">a declaração de inexistência da relação obrigacional decorrente do contrato impugnado (RMC) e a inexigibilidade dos respectivos débitos, com a baixa definitiva da reserva de margem consignável;</w:t>
      </w:r>
    </w:p>
    <w:p w14:paraId="4821C211" w14:textId="77777777" w:rsidR="00EA5AEA" w:rsidRDefault="00E94E64">
      <w:pPr>
        <w:pStyle w:val="PargrafodaLista"/>
        <w:numPr>
          <w:ilvl w:val="1"/>
          <w:numId w:val="4"/>
        </w:numPr>
        <w:spacing w:after="120" w:line="320" w:lineRule="auto"/>
        <w:jc w:val="both"/>
      </w:pPr>
      <w:r>
        <w:t xml:space="preserve">a condenação da Ré à restituição em dobro de todos os valores indevidamente descontados do benefício, no montante de R$ 18.276,52 (a confirmar), nos termos do artigo 42, parágrafo único, do CDC, com correção monetária desde a data de cada desconto (Súmula 43/STJ) e juros moratórios a contar do evento danoso (Súmula 54/STJ);</w:t>
      </w:r>
    </w:p>
    <w:p w14:paraId="4821C211" w14:textId="77777777" w:rsidR="00EA5AEA" w:rsidRDefault="00E94E64">
      <w:pPr>
        <w:pStyle w:val="PargrafodaLista"/>
        <w:numPr>
          <w:ilvl w:val="1"/>
          <w:numId w:val="4"/>
        </w:numPr>
        <w:spacing w:after="120" w:line="320" w:lineRule="auto"/>
        <w:jc w:val="both"/>
      </w:pPr>
      <w:r>
        <w:t xml:space="preserve">a condenação da Ré ao pagamento de indenização por danos morais no montante de R$ 40.000,00, arbitrado em atenção à condição de hipervulnerabilidade da parte autora, à gravidade objetiva da conduta e ao caráter pedagógico da condenação;</w:t>
      </w:r>
    </w:p>
    <w:p w14:paraId="4821C214" w14:textId="77777777" w:rsidR="00EA5AEA" w:rsidRDefault="00E94E64">
      <w:pPr>
        <w:pStyle w:val="PargrafodaLista"/>
        <w:numPr>
          <w:ilvl w:val="1"/>
          <w:numId w:val="4"/>
        </w:numPr>
        <w:spacing w:after="120" w:line="320" w:lineRule="auto"/>
        <w:jc w:val="both"/>
      </w:pPr>
      <w:r>
        <w:t>a confirmação, em sede de sentença, da tutela de urgência concedida, consolidando-se definitivamente a obrigação de não fazer, com vedação de novos descontos ou cobranças com base no contrato impugnado;</w:t>
      </w:r>
    </w:p>
    <w:p w14:paraId="4821C216" w14:textId="77777777" w:rsidR="00EA5AEA" w:rsidRDefault="00E94E64">
      <w:pPr>
        <w:pStyle w:val="PargrafodaLista"/>
        <w:numPr>
          <w:ilvl w:val="0"/>
          <w:numId w:val="3"/>
        </w:numPr>
        <w:spacing w:after="160" w:line="320" w:lineRule="auto"/>
        <w:jc w:val="both"/>
      </w:pPr>
      <w:r>
        <w:t>a remessa dos autos ao Ministério Público e a comunicação formal ao BACEN, à SENACON e ao PROCON, para conhecimento dos fatos, apuração das condutas denunciadas e adoção das medidas preventivas e sancionatórias cabíveis;</w:t>
      </w:r>
    </w:p>
    <w:p w14:paraId="4821C217" w14:textId="77777777" w:rsidR="00EA5AEA" w:rsidRDefault="00E94E64">
      <w:pPr>
        <w:pStyle w:val="PargrafodaLista"/>
        <w:numPr>
          <w:ilvl w:val="0"/>
          <w:numId w:val="3"/>
        </w:numPr>
        <w:spacing w:after="160" w:line="320" w:lineRule="auto"/>
        <w:jc w:val="both"/>
      </w:pPr>
      <w:r>
        <w:t>a produção de todas as provas em direito admitidas, especialmente: juntada de documentos complementares; oitiva de testemunhas; depoimento pessoal do representante legal da Ré, sob pena de confissão ficta; e expedição de ofícios e requisições a órgãos públicos e entidades privadas.</w:t>
      </w:r>
    </w:p>
    <w:p w14:paraId="4821C219" w14:textId="1EF25EF8" w:rsidR="00EA5AEA" w:rsidRDefault="00E94E64">
      <w:pPr>
        <w:spacing w:after="140" w:line="320" w:lineRule="auto"/>
        <w:jc w:val="both"/>
      </w:pPr>
      <w:r>
        <w:t xml:space="preserve">Requer-se, por fim, que todas as intimações e publicações processuais sejam realizadas exclusivamente em nome do advogado </w:t>
      </w:r>
      <w:r>
        <w:rPr>
          <w:b/>
        </w:rPr>
        <w:t xml:space="preserve">CLEYTON DA SILVA BARBOSA</w:t>
      </w:r>
      <w:r>
        <w:t xml:space="preserve">, inscrito na OAB/BA sob o nº 92.148, sob pena de nulidade.</w:t>
      </w:r>
    </w:p>
    <w:p w14:paraId="4821C21C" w14:textId="2F6E2ADA" w:rsidR="00EA5AEA" w:rsidRPr="00A53A1F" w:rsidRDefault="00E94E64">
      <w:pPr>
        <w:spacing w:after="140" w:line="320" w:lineRule="auto"/>
        <w:jc w:val="both"/>
      </w:pPr>
      <w:r>
        <w:t xml:space="preserve">Atribui-se à causa o valor de </w:t>
      </w:r>
      <w:r>
        <w:rPr>
          <w:b/>
        </w:rPr>
        <w:t xml:space="preserve">R$ 58.276,52</w:t>
      </w:r>
      <w:r>
        <w:t xml:space="preserve">, correspondente à soma da repetição em dobro do indébito (R$ 18.276,52) e da indenização por danos morais (R$ 40.000,00), nos termos do artigo 292, incisos IV e V, do CPC/2015.</w:t>
      </w:r>
    </w:p>
    <w:p w14:paraId="4821C21E" w14:textId="77777777" w:rsidR="00EA5AEA" w:rsidRDefault="00E94E64">
      <w:pPr>
        <w:spacing w:after="140" w:line="320" w:lineRule="auto"/>
        <w:jc w:val="both"/>
      </w:pPr>
      <w:r>
        <w:rPr>
          <w:b/>
          <w:bCs/>
        </w:rPr>
        <w:t>Nestes termos,</w:t>
      </w:r>
    </w:p>
    <w:p w14:paraId="4821C21F" w14:textId="77777777" w:rsidR="00EA5AEA" w:rsidRDefault="00E94E64">
      <w:pPr>
        <w:spacing w:after="140" w:line="320" w:lineRule="auto"/>
        <w:jc w:val="both"/>
      </w:pPr>
      <w:r>
        <w:rPr>
          <w:b/>
          <w:bCs/>
        </w:rPr>
        <w:t>Pede deferimento.</w:t>
      </w:r>
    </w:p>
    <w:p w14:paraId="4821C221" w14:textId="62D7EC48" w:rsidR="00EA5AEA" w:rsidRPr="00876334" w:rsidRDefault="009404F3">
      <w:pPr>
        <w:spacing w:after="140" w:line="320" w:lineRule="auto"/>
        <w:jc w:val="both"/>
      </w:pPr>
      <w:r>
        <w:rPr>
          <w:sz w:val="24"/>
          <w:szCs w:val="24"/>
        </w:rPr>
        <w:t xml:space="preserve">Salvador/BA, 1 de outubro de 2026.</w:t>
      </w:r>
    </w:p>
    <w:p w14:paraId="4821C224" w14:textId="77777777" w:rsidR="00EA5AEA" w:rsidRDefault="00E94E64">
      <w:pPr>
        <w:spacing w:after="80"/>
        <w:jc w:val="center"/>
      </w:pPr>
      <w:r>
        <w:t>_________________________________________</w:t>
      </w:r>
    </w:p>
    <w:p w14:paraId="4821C226" w14:textId="659260BD" w:rsidR="00EA5AEA" w:rsidRDefault="00CF4767" w:rsidP="00CF4767">
      <w:pPr>
        <w:spacing w:after="80"/>
        <w:jc w:val="center"/>
      </w:pPr>
      <w:r>
        <w:rPr>
          <w:b/>
        </w:rPr>
        <w:t xml:space="preserve">CLEYTON DA SILVA BARBOSA – OAB/BA 92.148</w:t>
      </w:r>
    </w:p>
    <w:sectPr w:rsidR="00EA5AEA">
      <w:headerReference w:type="default" r:id="rId10"/>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C308B" w14:textId="77777777" w:rsidR="00180A6D" w:rsidRDefault="00180A6D" w:rsidP="008A357B">
      <w:r>
        <w:separator/>
      </w:r>
    </w:p>
  </w:endnote>
  <w:endnote w:type="continuationSeparator" w:id="0">
    <w:p w14:paraId="1E681328" w14:textId="77777777" w:rsidR="00180A6D" w:rsidRDefault="00180A6D" w:rsidP="008A3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BA8B2" w14:textId="77777777" w:rsidR="00180A6D" w:rsidRDefault="00180A6D" w:rsidP="008A357B">
      <w:r>
        <w:separator/>
      </w:r>
    </w:p>
  </w:footnote>
  <w:footnote w:type="continuationSeparator" w:id="0">
    <w:p w14:paraId="60B7CE1F" w14:textId="77777777" w:rsidR="00180A6D" w:rsidRDefault="00180A6D" w:rsidP="008A3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81BC" w14:textId="37219457" w:rsidR="008A357B" w:rsidRDefault="008A357B" w:rsidP="008A357B">
    <w:pPr>
      <w:pStyle w:val="Cabealho"/>
      <w:jc w:val="center"/>
    </w:pPr>
    <w:r w:rsidRPr="00847EF0">
      <w:rPr>
        <w:i/>
        <w:noProof/>
        <w:color w:val="002060"/>
        <w:sz w:val="20"/>
      </w:rPr>
      <w:drawing>
        <wp:inline distT="0" distB="0" distL="0" distR="0" wp14:anchorId="217E595E" wp14:editId="03C4FCC4">
          <wp:extent cx="902335" cy="902335"/>
          <wp:effectExtent l="0" t="0" r="0" b="0"/>
          <wp:docPr id="6686119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9023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5B5"/>
    <w:multiLevelType w:val="hybridMultilevel"/>
    <w:tmpl w:val="5BCC2480"/>
    <w:lvl w:ilvl="0" w:tplc="9BE8901C">
      <w:start w:val="1"/>
      <w:numFmt w:val="lowerLetter"/>
      <w:lvlText w:val="%1)"/>
      <w:lvlJc w:val="left"/>
      <w:pPr>
        <w:ind w:left="720" w:hanging="360"/>
      </w:pPr>
    </w:lvl>
    <w:lvl w:ilvl="1" w:tplc="F1BAF022">
      <w:start w:val="1"/>
      <w:numFmt w:val="lowerRoman"/>
      <w:lvlText w:val="%2."/>
      <w:lvlJc w:val="left"/>
      <w:pPr>
        <w:ind w:left="1440" w:hanging="360"/>
      </w:pPr>
    </w:lvl>
    <w:lvl w:ilvl="2" w:tplc="D6BA3438">
      <w:numFmt w:val="decimal"/>
      <w:lvlText w:val=""/>
      <w:lvlJc w:val="left"/>
    </w:lvl>
    <w:lvl w:ilvl="3" w:tplc="9EACD892">
      <w:numFmt w:val="decimal"/>
      <w:lvlText w:val=""/>
      <w:lvlJc w:val="left"/>
    </w:lvl>
    <w:lvl w:ilvl="4" w:tplc="ED58D652">
      <w:numFmt w:val="decimal"/>
      <w:lvlText w:val=""/>
      <w:lvlJc w:val="left"/>
    </w:lvl>
    <w:lvl w:ilvl="5" w:tplc="A55C6CCA">
      <w:numFmt w:val="decimal"/>
      <w:lvlText w:val=""/>
      <w:lvlJc w:val="left"/>
    </w:lvl>
    <w:lvl w:ilvl="6" w:tplc="DCBE022A">
      <w:numFmt w:val="decimal"/>
      <w:lvlText w:val=""/>
      <w:lvlJc w:val="left"/>
    </w:lvl>
    <w:lvl w:ilvl="7" w:tplc="80442CAE">
      <w:numFmt w:val="decimal"/>
      <w:lvlText w:val=""/>
      <w:lvlJc w:val="left"/>
    </w:lvl>
    <w:lvl w:ilvl="8" w:tplc="596E55EC">
      <w:numFmt w:val="decimal"/>
      <w:lvlText w:val=""/>
      <w:lvlJc w:val="left"/>
    </w:lvl>
  </w:abstractNum>
  <w:abstractNum w:abstractNumId="1" w15:restartNumberingAfterBreak="0">
    <w:nsid w:val="1D45087E"/>
    <w:multiLevelType w:val="hybridMultilevel"/>
    <w:tmpl w:val="168428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CCF6A95"/>
    <w:multiLevelType w:val="hybridMultilevel"/>
    <w:tmpl w:val="5BB6B970"/>
    <w:lvl w:ilvl="0" w:tplc="855233E2">
      <w:start w:val="1"/>
      <w:numFmt w:val="lowerLetter"/>
      <w:lvlText w:val="%1)"/>
      <w:lvlJc w:val="left"/>
      <w:pPr>
        <w:ind w:left="720" w:hanging="360"/>
      </w:pPr>
    </w:lvl>
    <w:lvl w:ilvl="1" w:tplc="E9BEA18E">
      <w:numFmt w:val="decimal"/>
      <w:lvlText w:val=""/>
      <w:lvlJc w:val="left"/>
    </w:lvl>
    <w:lvl w:ilvl="2" w:tplc="5F92E72A">
      <w:numFmt w:val="decimal"/>
      <w:lvlText w:val=""/>
      <w:lvlJc w:val="left"/>
    </w:lvl>
    <w:lvl w:ilvl="3" w:tplc="E74CEEEA">
      <w:numFmt w:val="decimal"/>
      <w:lvlText w:val=""/>
      <w:lvlJc w:val="left"/>
    </w:lvl>
    <w:lvl w:ilvl="4" w:tplc="1A1061AA">
      <w:numFmt w:val="decimal"/>
      <w:lvlText w:val=""/>
      <w:lvlJc w:val="left"/>
    </w:lvl>
    <w:lvl w:ilvl="5" w:tplc="403CB29C">
      <w:numFmt w:val="decimal"/>
      <w:lvlText w:val=""/>
      <w:lvlJc w:val="left"/>
    </w:lvl>
    <w:lvl w:ilvl="6" w:tplc="7AB2944E">
      <w:numFmt w:val="decimal"/>
      <w:lvlText w:val=""/>
      <w:lvlJc w:val="left"/>
    </w:lvl>
    <w:lvl w:ilvl="7" w:tplc="FBB29EC6">
      <w:numFmt w:val="decimal"/>
      <w:lvlText w:val=""/>
      <w:lvlJc w:val="left"/>
    </w:lvl>
    <w:lvl w:ilvl="8" w:tplc="A70AAC66">
      <w:numFmt w:val="decimal"/>
      <w:lvlText w:val=""/>
      <w:lvlJc w:val="left"/>
    </w:lvl>
  </w:abstractNum>
  <w:abstractNum w:abstractNumId="3" w15:restartNumberingAfterBreak="0">
    <w:nsid w:val="520C4C6D"/>
    <w:multiLevelType w:val="hybridMultilevel"/>
    <w:tmpl w:val="757CA856"/>
    <w:lvl w:ilvl="0" w:tplc="9AE84CEC">
      <w:start w:val="1"/>
      <w:numFmt w:val="bullet"/>
      <w:lvlText w:val="●"/>
      <w:lvlJc w:val="left"/>
      <w:pPr>
        <w:ind w:left="720" w:hanging="360"/>
      </w:pPr>
    </w:lvl>
    <w:lvl w:ilvl="1" w:tplc="8C32F2EA">
      <w:start w:val="1"/>
      <w:numFmt w:val="bullet"/>
      <w:lvlText w:val="○"/>
      <w:lvlJc w:val="left"/>
      <w:pPr>
        <w:ind w:left="1440" w:hanging="360"/>
      </w:pPr>
    </w:lvl>
    <w:lvl w:ilvl="2" w:tplc="B1C2F1B4">
      <w:start w:val="1"/>
      <w:numFmt w:val="bullet"/>
      <w:lvlText w:val="■"/>
      <w:lvlJc w:val="left"/>
      <w:pPr>
        <w:ind w:left="2160" w:hanging="360"/>
      </w:pPr>
    </w:lvl>
    <w:lvl w:ilvl="3" w:tplc="22348BF0">
      <w:start w:val="1"/>
      <w:numFmt w:val="bullet"/>
      <w:lvlText w:val="●"/>
      <w:lvlJc w:val="left"/>
      <w:pPr>
        <w:ind w:left="2880" w:hanging="360"/>
      </w:pPr>
    </w:lvl>
    <w:lvl w:ilvl="4" w:tplc="DE70FB04">
      <w:start w:val="1"/>
      <w:numFmt w:val="bullet"/>
      <w:lvlText w:val="○"/>
      <w:lvlJc w:val="left"/>
      <w:pPr>
        <w:ind w:left="3600" w:hanging="360"/>
      </w:pPr>
    </w:lvl>
    <w:lvl w:ilvl="5" w:tplc="5590D918">
      <w:start w:val="1"/>
      <w:numFmt w:val="bullet"/>
      <w:lvlText w:val="■"/>
      <w:lvlJc w:val="left"/>
      <w:pPr>
        <w:ind w:left="4320" w:hanging="360"/>
      </w:pPr>
    </w:lvl>
    <w:lvl w:ilvl="6" w:tplc="1130E1DC">
      <w:start w:val="1"/>
      <w:numFmt w:val="bullet"/>
      <w:lvlText w:val="●"/>
      <w:lvlJc w:val="left"/>
      <w:pPr>
        <w:ind w:left="5040" w:hanging="360"/>
      </w:pPr>
    </w:lvl>
    <w:lvl w:ilvl="7" w:tplc="3ACE7E94">
      <w:start w:val="1"/>
      <w:numFmt w:val="bullet"/>
      <w:lvlText w:val="●"/>
      <w:lvlJc w:val="left"/>
      <w:pPr>
        <w:ind w:left="5760" w:hanging="360"/>
      </w:pPr>
    </w:lvl>
    <w:lvl w:ilvl="8" w:tplc="6F1E4868">
      <w:start w:val="1"/>
      <w:numFmt w:val="bullet"/>
      <w:lvlText w:val="●"/>
      <w:lvlJc w:val="left"/>
      <w:pPr>
        <w:ind w:left="6480" w:hanging="360"/>
      </w:pPr>
    </w:lvl>
  </w:abstractNum>
  <w:abstractNum w:abstractNumId="4" w15:restartNumberingAfterBreak="0">
    <w:nsid w:val="6D2C0315"/>
    <w:multiLevelType w:val="hybridMultilevel"/>
    <w:tmpl w:val="F7227E40"/>
    <w:lvl w:ilvl="0" w:tplc="E152BED8">
      <w:start w:val="1"/>
      <w:numFmt w:val="bullet"/>
      <w:lvlText w:val="•"/>
      <w:lvlJc w:val="left"/>
      <w:pPr>
        <w:ind w:left="720" w:hanging="360"/>
      </w:pPr>
    </w:lvl>
    <w:lvl w:ilvl="1" w:tplc="FAEE419C">
      <w:numFmt w:val="decimal"/>
      <w:lvlText w:val=""/>
      <w:lvlJc w:val="left"/>
    </w:lvl>
    <w:lvl w:ilvl="2" w:tplc="57BAF9F4">
      <w:numFmt w:val="decimal"/>
      <w:lvlText w:val=""/>
      <w:lvlJc w:val="left"/>
    </w:lvl>
    <w:lvl w:ilvl="3" w:tplc="D018B07A">
      <w:numFmt w:val="decimal"/>
      <w:lvlText w:val=""/>
      <w:lvlJc w:val="left"/>
    </w:lvl>
    <w:lvl w:ilvl="4" w:tplc="E940BECE">
      <w:numFmt w:val="decimal"/>
      <w:lvlText w:val=""/>
      <w:lvlJc w:val="left"/>
    </w:lvl>
    <w:lvl w:ilvl="5" w:tplc="9B047624">
      <w:numFmt w:val="decimal"/>
      <w:lvlText w:val=""/>
      <w:lvlJc w:val="left"/>
    </w:lvl>
    <w:lvl w:ilvl="6" w:tplc="D3563942">
      <w:numFmt w:val="decimal"/>
      <w:lvlText w:val=""/>
      <w:lvlJc w:val="left"/>
    </w:lvl>
    <w:lvl w:ilvl="7" w:tplc="27D43A34">
      <w:numFmt w:val="decimal"/>
      <w:lvlText w:val=""/>
      <w:lvlJc w:val="left"/>
    </w:lvl>
    <w:lvl w:ilvl="8" w:tplc="5484E066">
      <w:numFmt w:val="decimal"/>
      <w:lvlText w:val=""/>
      <w:lvlJc w:val="left"/>
    </w:lvl>
  </w:abstractNum>
  <w:num w:numId="1" w16cid:durableId="1505589688">
    <w:abstractNumId w:val="3"/>
    <w:lvlOverride w:ilvl="0">
      <w:startOverride w:val="1"/>
    </w:lvlOverride>
  </w:num>
  <w:num w:numId="2" w16cid:durableId="1409376114">
    <w:abstractNumId w:val="4"/>
    <w:lvlOverride w:ilvl="0">
      <w:startOverride w:val="1"/>
    </w:lvlOverride>
  </w:num>
  <w:num w:numId="3" w16cid:durableId="1605454687">
    <w:abstractNumId w:val="2"/>
    <w:lvlOverride w:ilvl="0">
      <w:startOverride w:val="1"/>
    </w:lvlOverride>
  </w:num>
  <w:num w:numId="4" w16cid:durableId="532881612">
    <w:abstractNumId w:val="0"/>
    <w:lvlOverride w:ilvl="0">
      <w:startOverride w:val="1"/>
    </w:lvlOverride>
  </w:num>
  <w:num w:numId="5" w16cid:durableId="645546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AEA"/>
    <w:rsid w:val="0001745C"/>
    <w:rsid w:val="000201F1"/>
    <w:rsid w:val="000205B2"/>
    <w:rsid w:val="00027FB8"/>
    <w:rsid w:val="0003361A"/>
    <w:rsid w:val="0004261A"/>
    <w:rsid w:val="000437C3"/>
    <w:rsid w:val="00044E12"/>
    <w:rsid w:val="00047E1F"/>
    <w:rsid w:val="00051160"/>
    <w:rsid w:val="0005739C"/>
    <w:rsid w:val="000602FD"/>
    <w:rsid w:val="00061557"/>
    <w:rsid w:val="00081164"/>
    <w:rsid w:val="00083158"/>
    <w:rsid w:val="000877A5"/>
    <w:rsid w:val="000940DF"/>
    <w:rsid w:val="00097633"/>
    <w:rsid w:val="000B380D"/>
    <w:rsid w:val="000B66B6"/>
    <w:rsid w:val="000C62F4"/>
    <w:rsid w:val="000D2F4E"/>
    <w:rsid w:val="000D456B"/>
    <w:rsid w:val="000D49E4"/>
    <w:rsid w:val="000E2519"/>
    <w:rsid w:val="001024C3"/>
    <w:rsid w:val="00103DB2"/>
    <w:rsid w:val="00104BC8"/>
    <w:rsid w:val="00136B95"/>
    <w:rsid w:val="00145650"/>
    <w:rsid w:val="00146D1C"/>
    <w:rsid w:val="00152D51"/>
    <w:rsid w:val="00163289"/>
    <w:rsid w:val="00167F6B"/>
    <w:rsid w:val="00180A6D"/>
    <w:rsid w:val="00180FCD"/>
    <w:rsid w:val="00183CC5"/>
    <w:rsid w:val="00193966"/>
    <w:rsid w:val="001A79A3"/>
    <w:rsid w:val="001C65F2"/>
    <w:rsid w:val="001D0676"/>
    <w:rsid w:val="001D6743"/>
    <w:rsid w:val="001E573E"/>
    <w:rsid w:val="001E6886"/>
    <w:rsid w:val="00205444"/>
    <w:rsid w:val="002076A1"/>
    <w:rsid w:val="0023705D"/>
    <w:rsid w:val="0024569E"/>
    <w:rsid w:val="00245D82"/>
    <w:rsid w:val="0024725F"/>
    <w:rsid w:val="002517E1"/>
    <w:rsid w:val="002539B8"/>
    <w:rsid w:val="00266DBC"/>
    <w:rsid w:val="002715EA"/>
    <w:rsid w:val="002913E1"/>
    <w:rsid w:val="0029716E"/>
    <w:rsid w:val="002A74DF"/>
    <w:rsid w:val="002A7B6B"/>
    <w:rsid w:val="002C0567"/>
    <w:rsid w:val="002C4CD9"/>
    <w:rsid w:val="002D057C"/>
    <w:rsid w:val="002D4C25"/>
    <w:rsid w:val="002F28B9"/>
    <w:rsid w:val="003030A6"/>
    <w:rsid w:val="00311951"/>
    <w:rsid w:val="003138E2"/>
    <w:rsid w:val="00322348"/>
    <w:rsid w:val="00331110"/>
    <w:rsid w:val="00334B27"/>
    <w:rsid w:val="00341952"/>
    <w:rsid w:val="00341A22"/>
    <w:rsid w:val="003506ED"/>
    <w:rsid w:val="00356155"/>
    <w:rsid w:val="00357CBB"/>
    <w:rsid w:val="003611B4"/>
    <w:rsid w:val="003633D4"/>
    <w:rsid w:val="00363932"/>
    <w:rsid w:val="00366B2C"/>
    <w:rsid w:val="00386B8E"/>
    <w:rsid w:val="00387502"/>
    <w:rsid w:val="00387595"/>
    <w:rsid w:val="0039725A"/>
    <w:rsid w:val="003A359F"/>
    <w:rsid w:val="003B1F5C"/>
    <w:rsid w:val="003C515E"/>
    <w:rsid w:val="003C6447"/>
    <w:rsid w:val="003D392E"/>
    <w:rsid w:val="003D720A"/>
    <w:rsid w:val="003E650E"/>
    <w:rsid w:val="003E6AE3"/>
    <w:rsid w:val="003F6785"/>
    <w:rsid w:val="00401B06"/>
    <w:rsid w:val="00401E8A"/>
    <w:rsid w:val="00403D19"/>
    <w:rsid w:val="00420277"/>
    <w:rsid w:val="00424702"/>
    <w:rsid w:val="00424CBA"/>
    <w:rsid w:val="00425C8E"/>
    <w:rsid w:val="0043198D"/>
    <w:rsid w:val="00434F28"/>
    <w:rsid w:val="00435046"/>
    <w:rsid w:val="00442960"/>
    <w:rsid w:val="00443175"/>
    <w:rsid w:val="004622AC"/>
    <w:rsid w:val="00465B8F"/>
    <w:rsid w:val="0046604F"/>
    <w:rsid w:val="00476F0B"/>
    <w:rsid w:val="00487F79"/>
    <w:rsid w:val="0049132D"/>
    <w:rsid w:val="00495E6D"/>
    <w:rsid w:val="00496352"/>
    <w:rsid w:val="0049663B"/>
    <w:rsid w:val="00497B38"/>
    <w:rsid w:val="004A2027"/>
    <w:rsid w:val="004A2030"/>
    <w:rsid w:val="004B1256"/>
    <w:rsid w:val="004B2D55"/>
    <w:rsid w:val="004B4CE4"/>
    <w:rsid w:val="004B7D3E"/>
    <w:rsid w:val="004C0C1F"/>
    <w:rsid w:val="004D0287"/>
    <w:rsid w:val="004D7A74"/>
    <w:rsid w:val="004E557B"/>
    <w:rsid w:val="004F4773"/>
    <w:rsid w:val="0050611A"/>
    <w:rsid w:val="00506988"/>
    <w:rsid w:val="00512666"/>
    <w:rsid w:val="00513971"/>
    <w:rsid w:val="00526D37"/>
    <w:rsid w:val="00532B7B"/>
    <w:rsid w:val="0053574C"/>
    <w:rsid w:val="00545534"/>
    <w:rsid w:val="005467DE"/>
    <w:rsid w:val="005532F4"/>
    <w:rsid w:val="00560A96"/>
    <w:rsid w:val="00562C85"/>
    <w:rsid w:val="00575A84"/>
    <w:rsid w:val="00583840"/>
    <w:rsid w:val="00584DE4"/>
    <w:rsid w:val="00586124"/>
    <w:rsid w:val="005901DF"/>
    <w:rsid w:val="0059415D"/>
    <w:rsid w:val="00596613"/>
    <w:rsid w:val="005B2BF0"/>
    <w:rsid w:val="005C5D3C"/>
    <w:rsid w:val="005D1631"/>
    <w:rsid w:val="005E7118"/>
    <w:rsid w:val="005F08BF"/>
    <w:rsid w:val="005F2405"/>
    <w:rsid w:val="0060583F"/>
    <w:rsid w:val="00611F8F"/>
    <w:rsid w:val="00614E4B"/>
    <w:rsid w:val="00623F0B"/>
    <w:rsid w:val="006256C2"/>
    <w:rsid w:val="00660285"/>
    <w:rsid w:val="00665B95"/>
    <w:rsid w:val="006719E0"/>
    <w:rsid w:val="00673247"/>
    <w:rsid w:val="0067540B"/>
    <w:rsid w:val="006851B2"/>
    <w:rsid w:val="00697B11"/>
    <w:rsid w:val="006A00B5"/>
    <w:rsid w:val="006D575E"/>
    <w:rsid w:val="006D7168"/>
    <w:rsid w:val="006E3065"/>
    <w:rsid w:val="006F05EF"/>
    <w:rsid w:val="006F2346"/>
    <w:rsid w:val="006F71DB"/>
    <w:rsid w:val="00700F69"/>
    <w:rsid w:val="007131AE"/>
    <w:rsid w:val="00714716"/>
    <w:rsid w:val="00723617"/>
    <w:rsid w:val="00723FF4"/>
    <w:rsid w:val="0072529C"/>
    <w:rsid w:val="00732275"/>
    <w:rsid w:val="00734B6E"/>
    <w:rsid w:val="0074583B"/>
    <w:rsid w:val="00754DCE"/>
    <w:rsid w:val="00760BE8"/>
    <w:rsid w:val="00762F77"/>
    <w:rsid w:val="007820D2"/>
    <w:rsid w:val="0079695D"/>
    <w:rsid w:val="00796C06"/>
    <w:rsid w:val="007C74F0"/>
    <w:rsid w:val="007D0BFA"/>
    <w:rsid w:val="007D14E7"/>
    <w:rsid w:val="007D6BA1"/>
    <w:rsid w:val="007D7E62"/>
    <w:rsid w:val="007F3036"/>
    <w:rsid w:val="007F5B0C"/>
    <w:rsid w:val="00804EB1"/>
    <w:rsid w:val="008050D7"/>
    <w:rsid w:val="008056B6"/>
    <w:rsid w:val="0080723D"/>
    <w:rsid w:val="008127D0"/>
    <w:rsid w:val="0081354B"/>
    <w:rsid w:val="0081566D"/>
    <w:rsid w:val="008203AB"/>
    <w:rsid w:val="00820740"/>
    <w:rsid w:val="008242C2"/>
    <w:rsid w:val="008269D2"/>
    <w:rsid w:val="00830D46"/>
    <w:rsid w:val="008422EF"/>
    <w:rsid w:val="00842DF0"/>
    <w:rsid w:val="00843CC1"/>
    <w:rsid w:val="00846BFC"/>
    <w:rsid w:val="00853C9E"/>
    <w:rsid w:val="00860C9E"/>
    <w:rsid w:val="00860F08"/>
    <w:rsid w:val="00875E32"/>
    <w:rsid w:val="00876334"/>
    <w:rsid w:val="008763A5"/>
    <w:rsid w:val="00891A9F"/>
    <w:rsid w:val="008A357B"/>
    <w:rsid w:val="008A7306"/>
    <w:rsid w:val="008B3376"/>
    <w:rsid w:val="008C4648"/>
    <w:rsid w:val="008D1B81"/>
    <w:rsid w:val="008D1BF5"/>
    <w:rsid w:val="008E1113"/>
    <w:rsid w:val="008E3AA6"/>
    <w:rsid w:val="008F2F07"/>
    <w:rsid w:val="008F6A9C"/>
    <w:rsid w:val="008F764A"/>
    <w:rsid w:val="00902A12"/>
    <w:rsid w:val="00906FA8"/>
    <w:rsid w:val="00912119"/>
    <w:rsid w:val="00913FAB"/>
    <w:rsid w:val="0091636A"/>
    <w:rsid w:val="00927FDA"/>
    <w:rsid w:val="009404F3"/>
    <w:rsid w:val="00943239"/>
    <w:rsid w:val="0096103F"/>
    <w:rsid w:val="009723A2"/>
    <w:rsid w:val="00974D9F"/>
    <w:rsid w:val="0098073B"/>
    <w:rsid w:val="0098706F"/>
    <w:rsid w:val="0098796C"/>
    <w:rsid w:val="009928AE"/>
    <w:rsid w:val="009939B8"/>
    <w:rsid w:val="00996BE9"/>
    <w:rsid w:val="009A24B7"/>
    <w:rsid w:val="009A48DE"/>
    <w:rsid w:val="009C05FD"/>
    <w:rsid w:val="009C73AB"/>
    <w:rsid w:val="009D6B90"/>
    <w:rsid w:val="009E4E5D"/>
    <w:rsid w:val="00A10DB3"/>
    <w:rsid w:val="00A13B56"/>
    <w:rsid w:val="00A15595"/>
    <w:rsid w:val="00A16312"/>
    <w:rsid w:val="00A207C5"/>
    <w:rsid w:val="00A221D5"/>
    <w:rsid w:val="00A23DA5"/>
    <w:rsid w:val="00A27267"/>
    <w:rsid w:val="00A2777C"/>
    <w:rsid w:val="00A30694"/>
    <w:rsid w:val="00A327D9"/>
    <w:rsid w:val="00A376BA"/>
    <w:rsid w:val="00A45B82"/>
    <w:rsid w:val="00A53A1F"/>
    <w:rsid w:val="00A550E4"/>
    <w:rsid w:val="00A56FD6"/>
    <w:rsid w:val="00A6672D"/>
    <w:rsid w:val="00A6702F"/>
    <w:rsid w:val="00A721F1"/>
    <w:rsid w:val="00A7375E"/>
    <w:rsid w:val="00A73EF1"/>
    <w:rsid w:val="00A77B8D"/>
    <w:rsid w:val="00AA2AE1"/>
    <w:rsid w:val="00AB15AC"/>
    <w:rsid w:val="00AB3928"/>
    <w:rsid w:val="00AB4D33"/>
    <w:rsid w:val="00AB4E81"/>
    <w:rsid w:val="00AE3B58"/>
    <w:rsid w:val="00AE5AE9"/>
    <w:rsid w:val="00AE6C92"/>
    <w:rsid w:val="00AF0808"/>
    <w:rsid w:val="00AF120F"/>
    <w:rsid w:val="00AF739E"/>
    <w:rsid w:val="00B00442"/>
    <w:rsid w:val="00B1200F"/>
    <w:rsid w:val="00B20BBF"/>
    <w:rsid w:val="00B33284"/>
    <w:rsid w:val="00B43856"/>
    <w:rsid w:val="00B47120"/>
    <w:rsid w:val="00B5607C"/>
    <w:rsid w:val="00B6196A"/>
    <w:rsid w:val="00B659E2"/>
    <w:rsid w:val="00B74A61"/>
    <w:rsid w:val="00B875E2"/>
    <w:rsid w:val="00BB236C"/>
    <w:rsid w:val="00BB3A52"/>
    <w:rsid w:val="00BC4158"/>
    <w:rsid w:val="00BC5001"/>
    <w:rsid w:val="00BC62AF"/>
    <w:rsid w:val="00BD6389"/>
    <w:rsid w:val="00BD7AAE"/>
    <w:rsid w:val="00BE7104"/>
    <w:rsid w:val="00BF4B13"/>
    <w:rsid w:val="00BF733C"/>
    <w:rsid w:val="00C031D6"/>
    <w:rsid w:val="00C259B9"/>
    <w:rsid w:val="00C35E43"/>
    <w:rsid w:val="00C4326B"/>
    <w:rsid w:val="00C45656"/>
    <w:rsid w:val="00C5538B"/>
    <w:rsid w:val="00C559F0"/>
    <w:rsid w:val="00C65D65"/>
    <w:rsid w:val="00C70DE5"/>
    <w:rsid w:val="00C81B89"/>
    <w:rsid w:val="00C82C8B"/>
    <w:rsid w:val="00C91462"/>
    <w:rsid w:val="00CA43FB"/>
    <w:rsid w:val="00CA51CA"/>
    <w:rsid w:val="00CB1A03"/>
    <w:rsid w:val="00CE062C"/>
    <w:rsid w:val="00CE6E8F"/>
    <w:rsid w:val="00CF0D33"/>
    <w:rsid w:val="00CF4767"/>
    <w:rsid w:val="00CF7566"/>
    <w:rsid w:val="00D06103"/>
    <w:rsid w:val="00D06505"/>
    <w:rsid w:val="00D14BE0"/>
    <w:rsid w:val="00D27F24"/>
    <w:rsid w:val="00D33E79"/>
    <w:rsid w:val="00D43239"/>
    <w:rsid w:val="00D50B7E"/>
    <w:rsid w:val="00D571D7"/>
    <w:rsid w:val="00D85CA4"/>
    <w:rsid w:val="00D86C6F"/>
    <w:rsid w:val="00D8751D"/>
    <w:rsid w:val="00DA25F1"/>
    <w:rsid w:val="00DA6A39"/>
    <w:rsid w:val="00DB1912"/>
    <w:rsid w:val="00DC03E8"/>
    <w:rsid w:val="00DC34A3"/>
    <w:rsid w:val="00DD06CC"/>
    <w:rsid w:val="00DE2A4F"/>
    <w:rsid w:val="00DF52B4"/>
    <w:rsid w:val="00E06F8C"/>
    <w:rsid w:val="00E20BDE"/>
    <w:rsid w:val="00E244DE"/>
    <w:rsid w:val="00E27E9F"/>
    <w:rsid w:val="00E31293"/>
    <w:rsid w:val="00E326CD"/>
    <w:rsid w:val="00E329E7"/>
    <w:rsid w:val="00E46E87"/>
    <w:rsid w:val="00E50234"/>
    <w:rsid w:val="00E52A31"/>
    <w:rsid w:val="00E531F9"/>
    <w:rsid w:val="00E5402F"/>
    <w:rsid w:val="00E55793"/>
    <w:rsid w:val="00E70BA5"/>
    <w:rsid w:val="00E75C2B"/>
    <w:rsid w:val="00E76499"/>
    <w:rsid w:val="00E80A6D"/>
    <w:rsid w:val="00E85054"/>
    <w:rsid w:val="00E85F3B"/>
    <w:rsid w:val="00E911C3"/>
    <w:rsid w:val="00E94E64"/>
    <w:rsid w:val="00EA4D9D"/>
    <w:rsid w:val="00EA5AEA"/>
    <w:rsid w:val="00EB4CDD"/>
    <w:rsid w:val="00EB50C0"/>
    <w:rsid w:val="00EB7BE8"/>
    <w:rsid w:val="00EC18A6"/>
    <w:rsid w:val="00EC1B40"/>
    <w:rsid w:val="00EC2A01"/>
    <w:rsid w:val="00EC3B64"/>
    <w:rsid w:val="00EE220E"/>
    <w:rsid w:val="00F02664"/>
    <w:rsid w:val="00F04577"/>
    <w:rsid w:val="00F161FF"/>
    <w:rsid w:val="00F227CA"/>
    <w:rsid w:val="00F6074F"/>
    <w:rsid w:val="00F81F2C"/>
    <w:rsid w:val="00F84FE3"/>
    <w:rsid w:val="00F85E0E"/>
    <w:rsid w:val="00FA4F74"/>
    <w:rsid w:val="00FA59C4"/>
    <w:rsid w:val="00FB1C71"/>
    <w:rsid w:val="00FB64D6"/>
    <w:rsid w:val="00FB7F91"/>
    <w:rsid w:val="00FC52FC"/>
    <w:rsid w:val="00FD3EA6"/>
    <w:rsid w:val="00FF0ECF"/>
    <w:rsid w:val="00FF79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1C198"/>
  <w15:docId w15:val="{59639DCC-7C84-470A-AE0E-0A2D9DCF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8A357B"/>
    <w:pPr>
      <w:tabs>
        <w:tab w:val="center" w:pos="4252"/>
        <w:tab w:val="right" w:pos="8504"/>
      </w:tabs>
    </w:pPr>
  </w:style>
  <w:style w:type="character" w:customStyle="1" w:styleId="CabealhoChar">
    <w:name w:val="Cabeçalho Char"/>
    <w:basedOn w:val="Fontepargpadro"/>
    <w:link w:val="Cabealho"/>
    <w:uiPriority w:val="99"/>
    <w:rsid w:val="008A357B"/>
  </w:style>
  <w:style w:type="paragraph" w:styleId="Rodap">
    <w:name w:val="footer"/>
    <w:basedOn w:val="Normal"/>
    <w:link w:val="RodapChar"/>
    <w:uiPriority w:val="99"/>
    <w:unhideWhenUsed/>
    <w:rsid w:val="008A357B"/>
    <w:pPr>
      <w:tabs>
        <w:tab w:val="center" w:pos="4252"/>
        <w:tab w:val="right" w:pos="8504"/>
      </w:tabs>
    </w:pPr>
  </w:style>
  <w:style w:type="character" w:customStyle="1" w:styleId="RodapChar">
    <w:name w:val="Rodapé Char"/>
    <w:basedOn w:val="Fontepargpadro"/>
    <w:link w:val="Rodap"/>
    <w:uiPriority w:val="99"/>
    <w:rsid w:val="008A3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9E5F2-7A7C-422B-9931-DB9CF13BA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5023</Words>
  <Characters>27130</Characters>
  <Application>Microsoft Office Word</Application>
  <DocSecurity>0</DocSecurity>
  <Lines>226</Lines>
  <Paragraphs>64</Paragraphs>
  <ScaleCrop>false</ScaleCrop>
  <Company/>
  <LinksUpToDate>false</LinksUpToDate>
  <CharactersWithSpaces>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Petição inicial - Alcimar Alves de Souza</dc:title>
  <dc:creator>Cleyton Barbosa</dc:creator>
  <cp:lastModifiedBy>Cleyton Barbosa</cp:lastModifiedBy>
  <cp:revision>13</cp:revision>
  <cp:lastPrinted>2026-07-20T15:20:00Z</cp:lastPrinted>
  <dcterms:created xsi:type="dcterms:W3CDTF">2026-07-27T17:57:00Z</dcterms:created>
  <dcterms:modified xsi:type="dcterms:W3CDTF">2026-07-27T18:06:00Z</dcterms:modified>
  <dc:description/>
  <dc:subject/>
  <cp:keywords/>
</cp:coreProperties>
</file>