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INDENIZAÇÃO POR DANOS EXTRAPATRIMONIAIS E REPETIÇÃO EM DOBRO DE EVENTUAIS VALORES DESCONTADOS</w:t>
      </w:r>
    </w:p>
    <w:p w14:paraId="4821C19C" w14:textId="63B38372" w:rsidR="00EA5AEA" w:rsidRPr="0079695D" w:rsidRDefault="00E94E64" w:rsidP="00A56FD6">
      <w:pPr>
        <w:spacing w:after="160" w:line="320" w:lineRule="auto"/>
        <w:jc w:val="both"/>
      </w:pPr>
      <w:r>
        <w:t xml:space="preserve">contra </w:t>
      </w:r>
      <w:r>
        <w:rPr>
          <w:b/>
          <w:color w:val="002060"/>
        </w:rPr>
        <w:t xml:space="preserve">BANCO MERCANTIL DO BRASIL S/A</w:t>
      </w:r>
      <w:r>
        <w:t xml:space="preserve">, pessoa jurídica de direito privado, inscrita no CNPJ sob o nº 17.184.037/0001-10, com sede na Avenida do Contorno, nº 5800, Andares 11 a 15, Savassi, Belo Horizonte/MG, CEP 30110-042,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averbações indevidas identificadas em extrato — contratos formalmente excluídos cujos efeitos persistem em prejuízo do consumidor</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realizar análise retrospectiva de seu extrato previdenciário (HISCON emitido em 31/08/2026) — com auxílio de terceiros —, a parte autora constatou a existência de averbações lançadas sobre seu benefício a título de contratos de empréstimo consignado que jamais foiram por ela contratados, autorizados ou cientificados. Embora posteriormente excluídas do extrato (por refinanciamento ou reversão de refinanciamento) em poucos dias, tais averbações, enquanto vigentes, comprometeram a margem consignável do benefício e foram sucedidas por novas averbações da mesma instituição financeira. 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919171"/>
            <wp:docPr id="1" name="Picture 1"/>
            <wp:cNvGraphicFramePr>
              <a:graphicFrameLocks noChangeAspect="1"/>
            </wp:cNvGraphicFramePr>
            <a:graphic>
              <a:graphicData uri="http://schemas.openxmlformats.org/drawingml/2006/picture">
                <pic:pic>
                  <pic:nvPicPr>
                    <pic:cNvPr id="0" name="c_merc25.png"/>
                    <pic:cNvPicPr/>
                  </pic:nvPicPr>
                  <pic:blipFill>
                    <a:blip r:embed="rId13"/>
                    <a:stretch>
                      <a:fillRect/>
                    </a:stretch>
                  </pic:blipFill>
                  <pic:spPr>
                    <a:xfrm>
                      <a:off x="0" y="0"/>
                      <a:ext cx="5486400" cy="919171"/>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588456821</w:t>
      </w:r>
      <w:r>
        <w:t xml:space="preserve"> · averbado em 26/09/2025 · excluído em 27/09/2025 (por refinanciamento) · parcela mensal de R$ 794,58 · 68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588096766</w:t>
      </w:r>
      <w:r>
        <w:t xml:space="preserve"> · averbado em 19/09/2025 · excluído em 23/09/2025 (por refinanciamento) · parcela mensal de R$ 63,56 · 70 parcelas contratadas · sem desconto efetivo identificado no HISCON (exclusão anterior ao primeiro desconto), razão pela qual não se postula repetição quanto a este contrato.</w:t>
      </w:r>
    </w:p>
    <w:p w14:paraId="4821C1A1" w14:textId="77777777" w:rsidR="00EA5AEA" w:rsidRDefault="00E94E64">
      <w:pPr>
        <w:spacing w:after="140" w:line="320" w:lineRule="auto"/>
        <w:jc w:val="both"/>
      </w:pPr>
      <w:r>
        <w:t xml:space="preserve">A parte autora jamais celebrou tais contratos,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A circunstância de as averbações haverem sido excluídas em poucos dias não afasta a ilicitude: o simples lançamento de averbação fraudulenta sobre benefício de natureza alimentar reserva margem consignável, restringe o acesso do beneficiário ao crédito legítimo e o expõe a riscos, configurando ilícito autônomo apto a ensejar a reparação extrapatrimonial. A pretensão declaratória, por versar nulidade absoluta, é imprescritível (CC, art. 169).</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A1" w14:textId="77777777" w:rsidR="00EA5AEA" w:rsidRDefault="00E94E64">
      <w:pPr>
        <w:spacing w:after="140" w:line="320" w:lineRule="auto"/>
        <w:jc w:val="both"/>
      </w:pPr>
      <w:r>
        <w:t xml:space="preserve">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As averbações e os descontos fundados em supostos contratos jamais autorizados promoveram erosão ilegítima do mínimo existencial. A subtração e a reserva de verba alimentar resultaram em privação de alimentação adequada, diferimento de tratamentos médicos e desestabilização da economia doméstica — efeitos que se projetam, no presente, sob a forma de prejuízo cuja reparação se postula.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dos contratos impugnados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eventuais valores comprovadamente descontados do benefício do Autor em razão dos contratos impugnados,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R$ 40.000,00</w:t>
      </w:r>
      <w:r>
        <w:t xml:space="preserve">, correspondente à indenização por danos morais pleiteada, nos termos do artigo 292, incisos IV e V, do CPC/2015, ressalvada a apuração, em liquidação, de eventuais valores descontados.</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