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E INDENIZAÇÃO POR DANOS EXTRAPATRIMONIAIS</w:t>
      </w:r>
    </w:p>
    <w:p w14:paraId="4821C19C" w14:textId="63B38372" w:rsidR="00EA5AEA" w:rsidRPr="0079695D" w:rsidRDefault="00E94E64" w:rsidP="00A56FD6">
      <w:pPr>
        <w:spacing w:after="160" w:line="320" w:lineRule="auto"/>
        <w:jc w:val="both"/>
      </w:pPr>
      <w:r>
        <w:t xml:space="preserve">contra </w:t>
      </w:r>
      <w:r>
        <w:rPr>
          <w:b/>
          <w:color w:val="002060"/>
        </w:rPr>
        <w:t xml:space="preserve">Banco Pan S.A.</w:t>
      </w:r>
      <w:r>
        <w:t xml:space="preserve">, pessoa jurídica de direito privado, inscrita no CNPJ sob o nº 59.285.411/0001-13, com sede na Avenida Paulista, nº 1.374, 16º andar, na Cidade de São Paulo/SP, CEP 01310-100,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descontos pretéritos identificados em extrato — contratos formalmente extintos cujos efeitos persistem em prejuízo do consumidor</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realizar análise retrospectiva de seu extrato previdenciário (HISCON emitido em 31/08/2026) — com auxílio de terceiros —, a parte autora constatou a existência de descontos pretéritos vinculados a contratos de empréstimo consignado que jamais foiram por ela contratados, autorizados ou cientificados. Embora os contratos encontrem-se formalmente extintos (excluídos do extrato por portabilidade ou refinanciamento), os valores deduzidos durante sua vigência foram efetivamente subtraídos de seu benefício e jamais restituídos. 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737881"/>
            <wp:docPr id="1" name="Picture 1"/>
            <wp:cNvGraphicFramePr>
              <a:graphicFrameLocks noChangeAspect="1"/>
            </wp:cNvGraphicFramePr>
            <a:graphic>
              <a:graphicData uri="http://schemas.openxmlformats.org/drawingml/2006/picture">
                <pic:pic>
                  <pic:nvPicPr>
                    <pic:cNvPr id="0" name="b_pan21.png"/>
                    <pic:cNvPicPr/>
                  </pic:nvPicPr>
                  <pic:blipFill>
                    <a:blip r:embed="rId13"/>
                    <a:stretch>
                      <a:fillRect/>
                    </a:stretch>
                  </pic:blipFill>
                  <pic:spPr>
                    <a:xfrm>
                      <a:off x="0" y="0"/>
                      <a:ext cx="5486400" cy="737881"/>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348862737-7</w:t>
      </w:r>
      <w:r>
        <w:t xml:space="preserve"> · averbado em 29/07/2021 · excluído em 16/05/2023 (por refinanciamento) · parcela mensal de R$ 24,72 · 84 parcelas contratadas · 22 parcelas descontadas (competências 08/2021 a 05/2023; a confirmar) · prejuízo até o ajuizamento R$ 543,84; repetição em dobro R$ 1.087,68.</w:t>
      </w:r>
    </w:p>
    <w:p w14:paraId="17A32F8D" w14:textId="2E4B9833" w:rsidR="007D6BA1" w:rsidRDefault="007D6BA1" w:rsidP="004F4773">
      <w:pPr>
        <w:pStyle w:val="PargrafodaLista"/>
        <w:numPr>
          <w:ilvl w:val="0"/>
          <w:numId w:val="5"/>
        </w:numPr>
        <w:spacing w:after="140" w:line="320" w:lineRule="auto"/>
        <w:jc w:val="both"/>
      </w:pPr>
      <w:r>
        <w:rPr>
          <w:b/>
        </w:rPr>
        <w:t xml:space="preserve">Contrato 347761998-9</w:t>
      </w:r>
      <w:r>
        <w:t xml:space="preserve"> · averbado em 08/06/2021 · excluído em 18/04/2023 (por refinanciamento) · parcela mensal de R$ 535,28 · 84 parcelas contratadas · 22 parcelas descontadas (competências 07/2021 a 04/2023; a confirmar) · prejuízo até o ajuizamento R$ 11.776,16; repetição em dobro R$ 23.552,32.</w:t>
      </w:r>
    </w:p>
    <w:p w14:paraId="4821C1A1" w14:textId="77777777" w:rsidR="00EA5AEA" w:rsidRDefault="00E94E64">
      <w:pPr>
        <w:spacing w:after="140" w:line="320" w:lineRule="auto"/>
        <w:jc w:val="both"/>
      </w:pPr>
      <w:r>
        <w:t xml:space="preserve">Total descontado (a confirmar): </w:t>
      </w:r>
      <w:r>
        <w:rPr>
          <w:b/>
        </w:rPr>
        <w:t xml:space="preserve">R$ 12.320,00</w:t>
      </w:r>
      <w:r>
        <w:t xml:space="preserve">; repetição em dobro: </w:t>
      </w:r>
      <w:r>
        <w:rPr>
          <w:b/>
        </w:rPr>
        <w:t xml:space="preserve">R$ 24.640,00</w:t>
      </w:r>
      <w:r>
        <w:t xml:space="preserve">.</w:t>
      </w:r>
    </w:p>
    <w:p w14:paraId="4821C1A1" w14:textId="77777777" w:rsidR="00EA5AEA" w:rsidRDefault="00E94E64">
      <w:pPr>
        <w:spacing w:after="140" w:line="320" w:lineRule="auto"/>
        <w:jc w:val="both"/>
      </w:pPr>
      <w:r>
        <w:t xml:space="preserve">A parte autora jamais celebrou tais contratos,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O fato de os contratos haverem sido formalmente extintos antes do ajuizamento desta ação não infirma a pretensão deduzida. A extinção do contrato pela exaustão das parcelas ou pela migração para nova operação não convalida a fraude originária — apenas exauriu sua execução. Os valores indevidamente subtraídos durante sua vigência permanecem juridicamente passíveis de restituição, sob pena de o ordenamento legitimar, retrospectivamente, conduta que jamais teria validade no momento de sua prática.</w:t>
      </w:r>
    </w:p>
    <w:p w14:paraId="4821C1A1" w14:textId="77777777" w:rsidR="00EA5AEA" w:rsidRDefault="00E94E64">
      <w:pPr>
        <w:spacing w:after="140" w:line="320" w:lineRule="auto"/>
        <w:jc w:val="both"/>
      </w:pPr>
      <w:r>
        <w:t xml:space="preserve">Tampouco a prescrição obsta a pretensão. Tratando-se de declaração de inexistência de relação jurídica por ausência de manifestação de vontade — vício que importa nulidade absoluta nos termos do artigo 166, II e III, do Código Civil —, a pretensão declaratória é imprescritível, nos termos do artigo 169 do Código Civil. Quanto à pretensão restitutória, todos os descontos postulados situam-se dentro da janela decenal do artigo 205 do Código Civil, contada da data de cada desconto.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A1" w14:textId="77777777" w:rsidR="00EA5AEA" w:rsidRDefault="00E94E64">
      <w:pPr>
        <w:spacing w:after="140" w:line="320" w:lineRule="auto"/>
        <w:jc w:val="both"/>
      </w:pPr>
      <w:r>
        <w:t xml:space="preserve">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As averbações e os descontos fundados em supostos contratos jamais autorizados promoveram erosão ilegítima do mínimo existencial. A subtração e a reserva de verba alimentar resultaram em privação de alimentação adequada, diferimento de tratamentos médicos e desestabilização da economia doméstica — efeitos que se projetam, no presente, sob a forma de prejuízo cuja reparação se postula.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dos contratos impugnados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R$ 24.640,00 (a confirmar),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R$ 64.640,00</w:t>
      </w:r>
      <w:r>
        <w:t xml:space="preserve">, correspondente à soma da repetição em dobro do indébito (R$ 24.640,00)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