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DECLARATÓRIA DE NULIDADE DE MIGRAÇÃO DE AVERBAÇÃO E DE INEXISTÊNCIA DE RELAÇÃO OBRIGACIONAL, CUMULADA COM REPETIÇÃO EM DOBRO DO INDÉBITO, OBRIGAÇÃO DE NÃO FAZER, INDENIZAÇÃO POR DANOS EXTRAPATRIMONIAIS E PEDIDO DE TUTELA DE URGÊNCIA DE NATUREZA ANTECIPADA</w:t>
      </w:r>
    </w:p>
    <w:p w14:paraId="4821C19C" w14:textId="63B38372" w:rsidR="00EA5AEA" w:rsidRPr="0079695D" w:rsidRDefault="00E94E64" w:rsidP="00A56FD6">
      <w:pPr>
        <w:spacing w:after="160" w:line="320" w:lineRule="auto"/>
        <w:jc w:val="both"/>
      </w:pPr>
      <w:r>
        <w:t xml:space="preserve">contra </w:t>
      </w:r>
      <w:r>
        <w:rPr>
          <w:b/>
          <w:color w:val="002060"/>
        </w:rPr>
        <w:t xml:space="preserve">Banco PINE S.A</w:t>
      </w:r>
      <w:r>
        <w:t xml:space="preserve">, pessoa jurídica de direito privado, inscrita no CNPJ sob o nº 62.144.175/0001-20, com sede na Avenida Presidente Juscelino Kubitschek, nº 1.830, Torre 4, 6º andar, Itaim Bibi, São Paulo/SP, CEP 04543-907,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ausência absoluta de anuência quanto à migração da averbação — descontos compulsórios em curso sobre o benefício previdenciário</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são integralmente aplicados ao custeio de despesas essenciais — alimentação, medicamentos, tratamentos médicos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acessar a plataforma “Meu INSS” — com auxílio de terceiros —, constatou, com perplexidade, a existência de descontos periódicos registrados sob a rubrica 216 — Empréstimo Consignado, que jamais foram cientificados ou anuídos.</w:t>
      </w:r>
    </w:p>
    <w:p w14:paraId="4821C1A1" w14:textId="77777777" w:rsidR="00EA5AEA" w:rsidRDefault="00E94E64">
      <w:pPr>
        <w:spacing w:after="140" w:line="320" w:lineRule="auto"/>
        <w:jc w:val="both"/>
      </w:pPr>
      <w:r>
        <w:t xml:space="preserve">O próprio extrato oficial (HISCON de 31/08/2026) documenta a irregularidade de forma inequívoca, porquanto o campo “Origem da Averbação” registra, para o contrato adiante identificado, a anotação “Migrado do contrato 1100302281 CBC: 925”, indicando que a averbação foi originariamente lançada por BRB CRÉDITO FINANCIAMENTO E INVESTIMENTO S/A (CBC 925) — cuja linha no histórico de contratos excluídos registra “Exclusão por troca de titularidade”, em 01/04/2026 — e posteriormente transferida à instituição ora ré. O contrato impugnado encontra-se descrito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670151"/>
            <wp:docPr id="1" name="Picture 1"/>
            <wp:cNvGraphicFramePr>
              <a:graphicFrameLocks noChangeAspect="1"/>
            </wp:cNvGraphicFramePr>
            <a:graphic>
              <a:graphicData uri="http://schemas.openxmlformats.org/drawingml/2006/picture">
                <pic:pic>
                  <pic:nvPicPr>
                    <pic:cNvPr id="0" name="pine.png"/>
                    <pic:cNvPicPr/>
                  </pic:nvPicPr>
                  <pic:blipFill>
                    <a:blip r:embed="rId13"/>
                    <a:stretch>
                      <a:fillRect/>
                    </a:stretch>
                  </pic:blipFill>
                  <pic:spPr>
                    <a:xfrm>
                      <a:off x="0" y="0"/>
                      <a:ext cx="5486400" cy="670151"/>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1100302281</w:t>
      </w:r>
      <w:r>
        <w:t xml:space="preserve"> · Banco Pine S/A (cessionário; averbação originária BRB Crédito Financiamento e Investimento S/A — CBC 925) · averbado em 17/08/2023 · início dos descontos em 09/2023 · fim previsto em 08/2030 · parcela mensal de R$ 70,00 · 84 parcelas contratadas · 36 parcelas descontadas até 08/2026 (a confirmar), totalizando R$ 2.520,00; repetição em dobro R$ 5.040,00 · prejuízo se não cancelado: R$ 5.880,00 (total da operação) — 48 parcelas vincendas, no valor de R$ 3.360,00.</w:t>
      </w:r>
    </w:p>
    <w:p w14:paraId="4821C1A1" w14:textId="77777777" w:rsidR="00EA5AEA" w:rsidRDefault="00E94E64">
      <w:pPr>
        <w:spacing w:after="140" w:line="320" w:lineRule="auto"/>
        <w:jc w:val="both"/>
      </w:pPr>
      <w:r>
        <w:t xml:space="preserve">Reitera-se: a parte autora jamais foi notificada da migração, jamais assinou instrumento de cessão, jamais consentiu com a substituição do credor e jamais recebeu qualquer informação sobre as condições da operação transferida. A alteração da titularidade da averbação foi processada de forma unilateral, no interior do sistema eConsignado, sem aviso, sem contraditório e sem qualquer ato volitivo do consumidor.</w:t>
      </w:r>
    </w:p>
    <w:p w14:paraId="4821C1A1" w14:textId="77777777" w:rsidR="00EA5AEA" w:rsidRDefault="00E94E64">
      <w:pPr>
        <w:spacing w:after="140" w:line="320" w:lineRule="auto"/>
        <w:jc w:val="both"/>
      </w:pPr>
      <w:r>
        <w:t xml:space="preserve">A parte autora jamais celebrou tal contrato,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C8" w14:textId="77777777" w:rsidR="00EA5AEA" w:rsidRDefault="00E94E64">
      <w:pPr>
        <w:spacing w:before="220" w:after="110"/>
      </w:pPr>
      <w:r>
        <w:rPr>
          <w:b/>
          <w:bCs/>
          <w:i/>
          <w:iCs/>
        </w:rPr>
        <w:t>4.2  ·  Sustentáculo do núcleo familiar — penúria agravada pela conduta negligente da Ré — inexistência de mecanismos eficazes de governança e prevenção a fraudes</w:t>
      </w:r>
    </w:p>
    <w:p w14:paraId="4821C1C9" w14:textId="77777777" w:rsidR="00EA5AEA" w:rsidRDefault="00E94E64">
      <w:pPr>
        <w:spacing w:after="140" w:line="320" w:lineRule="auto"/>
        <w:jc w:val="both"/>
      </w:pPr>
      <w:r>
        <w:t>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CA" w14:textId="77777777" w:rsidR="00EA5AEA" w:rsidRDefault="00E94E64">
      <w:pPr>
        <w:spacing w:after="140" w:line="320" w:lineRule="auto"/>
        <w:jc w:val="both"/>
      </w:pPr>
      <w:r>
        <w:t>Os descontos periódicos fundados em suposto contrato jamais autorizado promovem erosão ilegítima do mínimo existencial. A subtração de verba alimentar resulta em privação de alimentação adequada, diferimento de tratamentos médicos e ameaça à estabilidade habitacional.</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A0" w14:textId="77777777" w:rsidR="00EA5AEA" w:rsidRDefault="00E94E64">
      <w:pPr>
        <w:spacing w:before="220" w:after="110"/>
      </w:pPr>
      <w:r>
        <w:rPr>
          <w:b/>
          <w:bCs/>
          <w:i/>
          <w:iCs/>
        </w:rPr>
        <w:t xml:space="preserve">Da nulidade da migração de averbação operada sem anuência do beneficiário — cessão de crédito sem notificação (CC, art. 290) — violação da Resolução CMN nº 4.753/2019 e da IN INSS/PRES nº 138/2022</w:t>
      </w:r>
    </w:p>
    <w:p w14:paraId="4821C1A1" w14:textId="77777777" w:rsidR="00EA5AEA" w:rsidRDefault="00E94E64">
      <w:pPr>
        <w:spacing w:after="140" w:line="320" w:lineRule="auto"/>
        <w:jc w:val="both"/>
      </w:pPr>
      <w:r>
        <w:t xml:space="preserve">A migração de averbação consiste na substituição da instituição credora registrada no sistema eConsignado, mantendo-se o desconto sobre o mesmo benefício. Não se trata de mero ajuste cadastral: a operação altera a titularidade do crédito, o polo da relação obrigacional e, por consequência, o destinatário dos valores mensalmente subtraídos do benefício.</w:t>
      </w:r>
    </w:p>
    <w:p w14:paraId="4821C1A1" w14:textId="77777777" w:rsidR="00EA5AEA" w:rsidRDefault="00E94E64">
      <w:pPr>
        <w:spacing w:after="140" w:line="320" w:lineRule="auto"/>
        <w:jc w:val="both"/>
      </w:pPr>
      <w:r>
        <w:t xml:space="preserve">Precisamente por isso, o ordenamento condiciona a operação a requisitos rigorosos. A Resolução CMN nº 4.753/2019 exige, para toda operação de crédito consignado, instrumento e comprovação inequívoca da autoria da manifestação de vontade. A Instrução Normativa INSS/PRES nº 138/2022 condiciona a averbação e a sua alteração à autorização expressa, documentada e rastreável do titular do benefício, vedando peremptoriamente autorizações tácitas, presumidas ou obtidas por vias informais.</w:t>
      </w:r>
    </w:p>
    <w:p w14:paraId="4821C1A1" w14:textId="77777777" w:rsidR="00EA5AEA" w:rsidRDefault="00E94E64">
      <w:pPr>
        <w:spacing w:after="140" w:line="320" w:lineRule="auto"/>
        <w:jc w:val="both"/>
      </w:pPr>
      <w:r>
        <w:t xml:space="preserve">No plano civil, o artigo 290 do Código Civil é categórico: a cessão de crédito não tem eficácia em relação ao devedor senão quando a este notificada. Não há, nos autos, um único elemento que demonstre notificação, ciência ou anuência do demandante quanto à substituição do credor.</w:t>
      </w:r>
    </w:p>
    <w:tbl>
      <w:tblPr>
        <w:tblW w:type="auto" w:w="0"/>
        <w:tblBorders>
          <w:top w:val="single" w:sz="4" w:color="999999"/>
          <w:left w:val="single" w:sz="4" w:color="999999"/>
          <w:bottom w:val="single" w:sz="4" w:color="999999"/>
          <w:right w:val="single" w:sz="4" w:color="999999"/>
          <w:insideH w:val="single" w:sz="4" w:color="999999"/>
          <w:insideV w:val="single" w:sz="4" w:color="999999"/>
        </w:tblBorders>
        <w:tblLook w:firstColumn="1" w:firstRow="1" w:lastColumn="0" w:lastRow="0" w:noHBand="0" w:noVBand="1" w:val="04A0"/>
      </w:tblPr>
      <w:tblGrid>
        <w:gridCol w:w="2922"/>
        <w:gridCol w:w="2922"/>
        <w:gridCol w:w="2922"/>
      </w:tblGrid>
      <w:tr>
        <w:tc>
          <w:tcPr>
            <w:tcW w:type="dxa" w:w="3168"/>
          </w:tcPr>
          <w:p>
            <w:r/>
            <w:r>
              <w:rPr>
                <w:b/>
                <w:sz w:val="18"/>
              </w:rPr>
              <w:t>O que a norma exige</w:t>
            </w:r>
          </w:p>
        </w:tc>
        <w:tc>
          <w:tcPr>
            <w:tcW w:type="dxa" w:w="3168"/>
          </w:tcPr>
          <w:p>
            <w:r/>
            <w:r>
              <w:rPr>
                <w:b/>
                <w:sz w:val="18"/>
              </w:rPr>
              <w:t>O que efetivamente ocorreu</w:t>
            </w:r>
          </w:p>
        </w:tc>
        <w:tc>
          <w:tcPr>
            <w:tcW w:type="dxa" w:w="2448"/>
          </w:tcPr>
          <w:p>
            <w:r/>
            <w:r>
              <w:rPr>
                <w:b/>
                <w:sz w:val="18"/>
              </w:rPr>
              <w:t>Dispositivo violado</w:t>
            </w:r>
          </w:p>
        </w:tc>
      </w:tr>
      <w:tr>
        <w:tc>
          <w:tcPr>
            <w:tcW w:type="dxa" w:w="3168"/>
          </w:tcPr>
          <w:p>
            <w:r/>
            <w:r>
              <w:rPr>
                <w:sz w:val="18"/>
              </w:rPr>
              <w:t>Autorização expressa e específica do titular para a averbação e sua alteração</w:t>
            </w:r>
          </w:p>
        </w:tc>
        <w:tc>
          <w:tcPr>
            <w:tcW w:type="dxa" w:w="3168"/>
          </w:tcPr>
          <w:p>
            <w:r/>
            <w:r>
              <w:rPr>
                <w:sz w:val="18"/>
              </w:rPr>
              <w:t>Lançamento unilateral no sistema, sem qualquer ato do beneficiário</w:t>
            </w:r>
          </w:p>
        </w:tc>
        <w:tc>
          <w:tcPr>
            <w:tcW w:type="dxa" w:w="2448"/>
          </w:tcPr>
          <w:p>
            <w:r/>
            <w:r>
              <w:rPr>
                <w:sz w:val="18"/>
              </w:rPr>
              <w:t>IN INSS/PRES nº 138/2022</w:t>
            </w:r>
          </w:p>
        </w:tc>
      </w:tr>
      <w:tr>
        <w:tc>
          <w:tcPr>
            <w:tcW w:type="dxa" w:w="3168"/>
          </w:tcPr>
          <w:p>
            <w:r/>
            <w:r>
              <w:rPr>
                <w:sz w:val="18"/>
              </w:rPr>
              <w:t>Instrumento contratual com comprovação inequívoca de autoria</w:t>
            </w:r>
          </w:p>
        </w:tc>
        <w:tc>
          <w:tcPr>
            <w:tcW w:type="dxa" w:w="3168"/>
          </w:tcPr>
          <w:p>
            <w:r/>
            <w:r>
              <w:rPr>
                <w:sz w:val="18"/>
              </w:rPr>
              <w:t>Nenhum instrumento foi apresentado ou entregue ao consumidor</w:t>
            </w:r>
          </w:p>
        </w:tc>
        <w:tc>
          <w:tcPr>
            <w:tcW w:type="dxa" w:w="2448"/>
          </w:tcPr>
          <w:p>
            <w:r/>
            <w:r>
              <w:rPr>
                <w:sz w:val="18"/>
              </w:rPr>
              <w:t>Res. CMN nº 4.753/2019</w:t>
            </w:r>
          </w:p>
        </w:tc>
      </w:tr>
      <w:tr>
        <w:tc>
          <w:tcPr>
            <w:tcW w:type="dxa" w:w="3168"/>
          </w:tcPr>
          <w:p>
            <w:r/>
            <w:r>
              <w:rPr>
                <w:sz w:val="18"/>
              </w:rPr>
              <w:t>Notificação do devedor quanto à cessão do crédito</w:t>
            </w:r>
          </w:p>
        </w:tc>
        <w:tc>
          <w:tcPr>
            <w:tcW w:type="dxa" w:w="3168"/>
          </w:tcPr>
          <w:p>
            <w:r/>
            <w:r>
              <w:rPr>
                <w:sz w:val="18"/>
              </w:rPr>
              <w:t>Nenhuma notificação, prévia ou posterior</w:t>
            </w:r>
          </w:p>
        </w:tc>
        <w:tc>
          <w:tcPr>
            <w:tcW w:type="dxa" w:w="2448"/>
          </w:tcPr>
          <w:p>
            <w:r/>
            <w:r>
              <w:rPr>
                <w:sz w:val="18"/>
              </w:rPr>
              <w:t>Código Civil, art. 290</w:t>
            </w:r>
          </w:p>
        </w:tc>
      </w:tr>
      <w:tr>
        <w:tc>
          <w:tcPr>
            <w:tcW w:type="dxa" w:w="3168"/>
          </w:tcPr>
          <w:p>
            <w:r/>
            <w:r>
              <w:rPr>
                <w:sz w:val="18"/>
              </w:rPr>
              <w:t>Informação clara e adequada sobre as condições da operação</w:t>
            </w:r>
          </w:p>
        </w:tc>
        <w:tc>
          <w:tcPr>
            <w:tcW w:type="dxa" w:w="3168"/>
          </w:tcPr>
          <w:p>
            <w:r/>
            <w:r>
              <w:rPr>
                <w:sz w:val="18"/>
              </w:rPr>
              <w:t>Desconhecimento integral de prazo, taxa e CET</w:t>
            </w:r>
          </w:p>
        </w:tc>
        <w:tc>
          <w:tcPr>
            <w:tcW w:type="dxa" w:w="2448"/>
          </w:tcPr>
          <w:p>
            <w:r/>
            <w:r>
              <w:rPr>
                <w:sz w:val="18"/>
              </w:rPr>
              <w:t>CDC, arts. 6º, III, e 46</w:t>
            </w:r>
          </w:p>
        </w:tc>
      </w:tr>
    </w:tbl>
    <w:p w14:paraId="42C9FB3F" w14:textId="77777777" w:rsidR="008C4648" w:rsidRDefault="008C4648" w:rsidP="00E329E7">
      <w:pPr>
        <w:jc w:val="center"/>
      </w:pPr>
    </w:p>
    <w:p w14:paraId="4821C1A0" w14:textId="77777777" w:rsidR="00EA5AEA" w:rsidRDefault="00E94E64">
      <w:pPr>
        <w:spacing w:before="220" w:after="110"/>
      </w:pPr>
      <w:r>
        <w:rPr>
          <w:b/>
          <w:bCs/>
          <w:i/>
          <w:iCs/>
        </w:rPr>
        <w:t xml:space="preserve">O que a migração não pode produzir</w:t>
      </w:r>
    </w:p>
    <w:p w14:paraId="4821C1A1" w14:textId="77777777" w:rsidR="00EA5AEA" w:rsidRDefault="00E94E64">
      <w:pPr>
        <w:spacing w:after="140" w:line="320" w:lineRule="auto"/>
        <w:jc w:val="both"/>
      </w:pPr>
      <w:r>
        <w:t xml:space="preserve">A migração não convalida o que era irregular na origem, não cria consentimento onde ele nunca existiu e não transfere ao consumidor o ônus de fiscalizar operações realizadas entre instituições financeiras à sua revelia. A Ré responde por aquilo que averbou em seu próprio nome, sendo-lhe vedado invocar a atuação da instituição cedente para eximir-se, uma vez que assumiu, ao receber a averbação, a posição de credora e a integralidade dos deveres que dela decorrem.</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19E" w14:textId="77777777" w:rsidR="00EA5AEA" w:rsidRDefault="00E94E64">
      <w:pPr>
        <w:spacing w:before="280" w:after="140"/>
      </w:pPr>
      <w:r>
        <w:rPr>
          <w:b/>
          <w:bCs/>
        </w:rPr>
        <w:t xml:space="preserve">6  ·  DA IMPERATIVIDADE DA TUTELA PROVISÓRIA DE URGÊNCIA</w:t>
      </w:r>
    </w:p>
    <w:p w14:paraId="4821C1A0" w14:textId="77777777" w:rsidR="00EA5AEA" w:rsidRDefault="00E94E64">
      <w:pPr>
        <w:spacing w:before="220" w:after="110"/>
      </w:pPr>
      <w:r>
        <w:rPr>
          <w:b/>
          <w:bCs/>
          <w:i/>
          <w:iCs/>
        </w:rPr>
        <w:t xml:space="preserve">Configuração do fumus boni iuris e do periculum in mora — natureza alimentar da verba — necessidade de cessação imediata dos descontos</w:t>
      </w:r>
    </w:p>
    <w:p w14:paraId="4821C1A1" w14:textId="77777777" w:rsidR="00EA5AEA" w:rsidRDefault="00E94E64">
      <w:pPr>
        <w:spacing w:after="140" w:line="320" w:lineRule="auto"/>
        <w:jc w:val="both"/>
      </w:pPr>
      <w:r>
        <w:t xml:space="preserve">As tutelas provisórias configuram instrumentos essenciais à prestação jurisdicional célere, em sintonia com os princípios insculpidos no artigo 5º, incisos XXXV e LIV, da Constituição Federal de 1988.</w:t>
      </w:r>
    </w:p>
    <w:p w14:paraId="4821C1A1" w14:textId="77777777" w:rsidR="00EA5AEA" w:rsidRDefault="00E94E64">
      <w:pPr>
        <w:spacing w:after="140" w:line="320" w:lineRule="auto"/>
        <w:jc w:val="both"/>
      </w:pPr>
      <w:r>
        <w:t xml:space="preserve">Dentre suas modalidades, destaca-se a tutela de urgência de natureza antecipatória, prevista no artigo 300 do CPC/2015, cuja concessão exige a conjugação do fumus boni iuris — plausibilidade jurídica da pretensão — e do periculum in mora — risco concreto de perecimento ou esvaziamento do bem jurídico tutelado.</w:t>
      </w:r>
    </w:p>
    <w:p w14:paraId="4821C1A1" w14:textId="77777777" w:rsidR="00EA5AEA" w:rsidRDefault="00E94E64">
      <w:pPr>
        <w:spacing w:after="140" w:line="320" w:lineRule="auto"/>
        <w:jc w:val="both"/>
      </w:pPr>
      <w:r>
        <w:t xml:space="preserve">O fumus boni iuris é robustamente evidenciado pela prova documental acostada aos autos, em especial os extratos de pagamento que comprovam a existência de descontos compulsórios sobre os proventos da parte autora. A ausência de contrato assinado, de manifestação volitiva válida e de qualquer comprovação de regularidade formal da contratação subtrai qualquer vestígio de legitimidade à conduta da Ré.</w:t>
      </w:r>
    </w:p>
    <w:p w14:paraId="4821C1A1" w14:textId="77777777" w:rsidR="00EA5AEA" w:rsidRDefault="00E94E64">
      <w:pPr>
        <w:spacing w:after="140" w:line="320" w:lineRule="auto"/>
        <w:jc w:val="both"/>
      </w:pPr>
      <w:r>
        <w:t xml:space="preserve">O periculum in mora revela-se com nitidez ainda maior. A parte autora é cidadão em estado de hipervulnerabilidade e dependente exclusivo de benefício de natureza alimentar. A cada ciclo mensal em que os descontos indevidos persistem, renova-se a supressão arbitrária de parcela essencial de seus rendimentos, comprometendo diretamente sua capacidade de adquirir alimentos, medicamentos e demais bens indispensáveis a uma existência compatível com a dignidade mínima assegurada pelo ordenamento.</w:t>
      </w:r>
    </w:p>
    <w:p w14:paraId="4821C1A1" w14:textId="77777777" w:rsidR="00EA5AEA" w:rsidRDefault="00E94E64">
      <w:pPr>
        <w:spacing w:after="140" w:line="320" w:lineRule="auto"/>
        <w:jc w:val="both"/>
      </w:pPr>
      <w:r>
        <w:t xml:space="preserve">A inércia judicial, nesse quadro, não representa mera omissão formal — configura conivência com a contínua agravação da ofensa.</w:t>
      </w:r>
    </w:p>
    <w:p w14:paraId="4821C1A1" w14:textId="77777777" w:rsidR="00EA5AEA" w:rsidRDefault="00E94E64">
      <w:pPr>
        <w:spacing w:after="140" w:line="320" w:lineRule="auto"/>
        <w:jc w:val="both"/>
      </w:pPr>
      <w:r>
        <w:t xml:space="preserve">O Tribunal de Justiça do Estado da Bahia, em reiteradas decisões, tem reconhecido a presença dos requisitos do artigo 300 do CPC/2015 em situações análogas, deferindo a suspensão dos descontos sobre benefício previdenciário como tutela de urgência, com fixação de astreinte por evento inadimplido — dado que os descontos se renovam mensalmente:</w:t>
      </w:r>
    </w:p>
    <w:p w14:paraId="4821C1DD" w14:textId="77777777" w:rsidR="00EA5AEA" w:rsidRDefault="00E94E64">
      <w:pPr>
        <w:spacing w:before="120" w:after="180" w:line="280" w:lineRule="auto"/>
        <w:ind w:left="720" w:right="360"/>
        <w:jc w:val="both"/>
      </w:pPr>
      <w:r>
        <w:rPr>
          <w:i/>
          <w:iCs/>
          <w:sz w:val="20"/>
          <w:szCs w:val="20"/>
        </w:rPr>
        <w:t xml:space="preserve">CONSUMIDOR E PROCESSUAL CIVIL. AÇÃO DECLARATÓRIA E INDENIZATÓRIA. EMPRÉSTIMO CONSIGNADO. SUPOSTA FRAUDE. TUTELA DE URGÊNCIA. REQUISITOS. CONSTATAÇÃO. [...] Pendente a discussão acerca da efetiva contratação pelo consumidor, é viável o deferimento da tutela de urgência, com suspensão dos descontos do contrato dito fraudulento, enquanto pendente a instrução do feito, em razão da impossibilidade da produção de prova negativa. O perigo de dano ao consumidor advém da natureza alimentar da verba, cuja continuidade dos descontos pode comprometer seu próprio sustento. A astreinte deve ser aplicada por evento inadimplido quando envolver empréstimo sobre reserva de margem consignável em benefício previdenciário, já que os descontos são realizados com periodicidade mensal.</w:t>
      </w:r>
    </w:p>
    <w:p w14:paraId="4821C1A1" w14:textId="77777777" w:rsidR="00EA5AEA" w:rsidRDefault="00E94E64">
      <w:pPr>
        <w:spacing w:after="140" w:line="320" w:lineRule="auto"/>
        <w:jc w:val="both"/>
      </w:pPr>
      <w:r>
        <w:t xml:space="preserve">Requer-se, assim, que este Juízo defira a tutela provisória de urgência, determinando a imediata suspensão dos descontos incidentes sobre o benefício previdenciário do Autor, sob pena de multa por evento inadimplido, como medida imprescindível à preservação do mínimo existencial e à efetividade da prestação jurisdicional.</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08" w14:textId="77777777" w:rsidR="00EA5AEA" w:rsidRDefault="00E94E64">
      <w:pPr>
        <w:pStyle w:val="PargrafodaLista"/>
        <w:numPr>
          <w:ilvl w:val="0"/>
          <w:numId w:val="3"/>
        </w:numPr>
        <w:spacing w:after="160" w:line="320" w:lineRule="auto"/>
        <w:jc w:val="both"/>
      </w:pPr>
      <w:r>
        <w:t xml:space="preserve">a concessão da </w:t>
      </w:r>
      <w:r>
        <w:rPr>
          <w:b/>
        </w:rPr>
        <w:t xml:space="preserve">TUTELA PROVISÓRIA DE URGÊNCIA</w:t>
      </w:r>
      <w:r>
        <w:t xml:space="preserve">, em caráter liminar, com fundamento no artigo 300 do CPC/2015, determinando-se à instituição financeira Ré, de forma imediata e incondicionada: (i) a suspensão integral dos descontos incidentes sobre o benefício previdenciário do Autor vinculados ao contrato impugnado (nº 1100302281) e à averbação migrada, sob pena de multa por evento de descumprimento no valor de R$ 1.518,00, nos termos do artigo 537 do CPC/2015; (ii) a vedação de novos lançamentos, cobranças ou descontos relativos ao objeto impugnado ou a qualquer outro vínculo não validado expressamente por decisão judicial, sob igual penalidade; e (iii) a expedição de ofício ao INSS para suspensão imediata de todos os descontos vinculados ao objeto questionado e a recomposição integral do valor líquido do benefício;</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nulidade da migração da averbação e de inexistência de relação jurídica entre o Autor e a Ré quanto ao contrato nº 1100302281, com a consequente inexigibilidade de todo e qualquer débito dele decorrente;</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dos valores indevidamente descontados, no montante de R$ 5.040,00 (a confirmar), correspondente a 36 parcelas de R$ 70,00,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1" w14:textId="77777777" w:rsidR="00EA5AEA" w:rsidRDefault="00E94E64">
      <w:pPr>
        <w:pStyle w:val="PargrafodaLista"/>
        <w:numPr>
          <w:ilvl w:val="1"/>
          <w:numId w:val="4"/>
        </w:numPr>
        <w:spacing w:after="120" w:line="320" w:lineRule="auto"/>
        <w:jc w:val="both"/>
      </w:pPr>
      <w:r>
        <w:t xml:space="preserve">a determinação para que a Ré exiba o instrumento contratual original, o instrumento de cessão da averbação, a notificação ao devedor, os registros biométricos, a trilha de auditoria e o comprovante do crédito de eventual valor mutuado, sob a sanção do artigo 400, inciso I, do CPC/2015;</w:t>
      </w:r>
    </w:p>
    <w:p w14:paraId="4821C211" w14:textId="77777777" w:rsidR="00EA5AEA" w:rsidRDefault="00E94E64">
      <w:pPr>
        <w:pStyle w:val="PargrafodaLista"/>
        <w:numPr>
          <w:ilvl w:val="1"/>
          <w:numId w:val="4"/>
        </w:numPr>
        <w:spacing w:after="120" w:line="320" w:lineRule="auto"/>
        <w:jc w:val="both"/>
      </w:pPr>
      <w:r>
        <w:t xml:space="preserve">a condenação da Ré à obrigação de não fazer, vedando-se nova averbação, novo desconto, nova cobrança, inscrição em cadastros restritivos de crédito e cessão a terceiros do crédito impugnado, sob idêntica penalidade;</w:t>
      </w:r>
    </w:p>
    <w:p w14:paraId="4821C214" w14:textId="77777777" w:rsidR="00EA5AEA" w:rsidRDefault="00E94E64">
      <w:pPr>
        <w:pStyle w:val="PargrafodaLista"/>
        <w:numPr>
          <w:ilvl w:val="1"/>
          <w:numId w:val="4"/>
        </w:numPr>
        <w:spacing w:after="120" w:line="320" w:lineRule="auto"/>
        <w:jc w:val="both"/>
      </w:pPr>
      <w:r>
        <w:t>a confirmação, em sede de sentença, da tutela de urgência concedida, consolidando-se definitivamente a obrigação de não fazer, com vedação de novos descontos ou cobranças com base no contrato impugnado;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R$ 48.400,00</w:t>
      </w:r>
      <w:r>
        <w:t xml:space="preserve">, correspondente à soma da repetição em dobro do indébito (R$ 5.040,00), das parcelas vincendas (R$ 3.360,00)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