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360" w:lineRule="auto" w:after="120" w:before="200"/>
        <w:jc w:val="left"/>
        <w:pBdr>
          <w:bottom w:val="single" w:sz="6" w:space="1" w:color="1F3864"/>
        </w:pBdr>
      </w:pPr>
      <w:r>
        <w:rPr>
          <w:b/>
          <w:color w:val="1F3864"/>
          <w:sz w:val="26"/>
        </w:rPr>
        <w:t>PARTE A — PETIÇÃO DE INTERPOSIÇÃO</w:t>
      </w:r>
    </w:p>
    <w:p>
      <w:pPr>
        <w:spacing w:line="360" w:lineRule="auto" w:after="120"/>
        <w:jc w:val="both"/>
      </w:pPr>
      <w:r>
        <w:rPr>
          <w:b/>
        </w:rPr>
        <w:t>AO JUÍZO DA 1ª VARA DO SISTEMA DOS JUIZADOS ESPECIAIS DA COMARCA DE JEQUIÉ — BAHIA</w:t>
      </w:r>
    </w:p>
    <w:p>
      <w:pPr>
        <w:spacing w:line="360" w:lineRule="auto" w:after="120"/>
        <w:jc w:val="both"/>
      </w:pPr>
      <w:r>
        <w:rPr>
          <w:b/>
        </w:rPr>
        <w:t>Processo nº 0003500-19.2026.8.05.0141</w:t>
      </w:r>
    </w:p>
    <w:p>
      <w:pPr>
        <w:spacing w:line="360" w:lineRule="auto" w:after="120"/>
        <w:ind w:firstLine="709"/>
        <w:jc w:val="both"/>
      </w:pPr>
      <w:r>
        <w:rPr>
          <w:b/>
        </w:rPr>
        <w:t>LUCAS SOUZA CHAVES</w:t>
      </w:r>
      <w:r>
        <w:rPr>
          <w:b w:val="0"/>
        </w:rPr>
        <w:t xml:space="preserve">, já qualificado nos autos da ação declaratória de inexistência de relação jurídica c/c obrigação de fazer e indenização por danos morais que move em face de </w:t>
      </w:r>
      <w:r>
        <w:rPr>
          <w:b/>
        </w:rPr>
        <w:t>AME DIGITAL BRASIL INSTITUIÇÃO DE PAGAMENTO LTDA.</w:t>
      </w:r>
      <w:r>
        <w:rPr>
          <w:b w:val="0"/>
        </w:rPr>
        <w:t xml:space="preserve">, por seu advogado, vem, com fundamento no art. 41 da Lei nº 9.099/95, interpor, tempestivamente, </w:t>
      </w:r>
      <w:r>
        <w:rPr>
          <w:b/>
        </w:rPr>
        <w:t>RECURSO INOMINADO</w:t>
      </w:r>
      <w:r>
        <w:rPr>
          <w:b w:val="0"/>
        </w:rPr>
        <w:t xml:space="preserve"> contra a r. sentença (Id. 206519748), pelas razões anexas, que requer sejam recebidas e processadas.</w:t>
      </w:r>
    </w:p>
    <w:p>
      <w:pPr>
        <w:spacing w:line="360" w:lineRule="auto" w:after="120"/>
        <w:ind w:firstLine="709"/>
        <w:jc w:val="both"/>
      </w:pPr>
      <w:r>
        <w:rPr>
          <w:b/>
        </w:rPr>
        <w:t>Tempestividade.</w:t>
      </w:r>
      <w:r>
        <w:rPr>
          <w:b w:val="0"/>
        </w:rPr>
        <w:t xml:space="preserve"> O recorrente foi intimado da sentença em [VERIFICAR ANTES DE PROTOCOLAR — data de intimação no PROJUDI]. O prazo de 10 dias (art. 42, Lei nº 9.099/95) está sendo observado.</w:t>
      </w:r>
    </w:p>
    <w:p>
      <w:pPr>
        <w:spacing w:line="360" w:lineRule="auto" w:after="120"/>
        <w:ind w:firstLine="709"/>
        <w:jc w:val="both"/>
      </w:pPr>
      <w:r>
        <w:rPr>
          <w:b/>
        </w:rPr>
        <w:t>Gratuidade e preparo.</w:t>
      </w:r>
      <w:r>
        <w:rPr>
          <w:b w:val="0"/>
        </w:rPr>
        <w:t xml:space="preserve"> A gratuidade da justiça foi requerida na inicial (Id. 202245379), impugnada genericamente pela ré na contestação (Id. 205513506) e </w:t>
      </w:r>
      <w:r>
        <w:rPr>
          <w:b/>
        </w:rPr>
        <w:t>não foi apreciada na sentença</w:t>
      </w:r>
      <w:r>
        <w:rPr>
          <w:b w:val="0"/>
        </w:rPr>
        <w:t>. Reitera-se o pedido, agora instruído com a Carteira de Trabalho Digital do recorrente (doc. anexo), que comprova renda mensal de R$ 1.653,00, cerca de um salário mínimo. Requer-se a concessão do benefício, com a consequente dispensa de preparo (art. 42, § 1º, Lei nº 9.099/95 c/c art. 98, § 1º, CPC) e, nos termos do art. 99, § 7º, do CPC [VERIFICAR ANTES DE PROTOCOLAR], a suspensão da exigência de recolhimento até a apreciação do pedido. Na hipótese de indeferimento, requer-se a intimação para recolher o preparo, em respeito ao contraditório.</w:t>
      </w:r>
    </w:p>
    <w:p>
      <w:pPr>
        <w:spacing w:line="360" w:lineRule="auto" w:after="120"/>
        <w:ind w:firstLine="709"/>
        <w:jc w:val="both"/>
      </w:pPr>
      <w:r>
        <w:rPr>
          <w:b w:val="0"/>
        </w:rPr>
        <w:t>Requer, por fim, o recebimento do recurso, a intimação da recorrida para contrarrazões e a remessa dos autos à Egrégia Turma Recursal competente.</w:t>
      </w:r>
    </w:p>
    <w:p>
      <w:pPr>
        <w:spacing w:line="360" w:lineRule="auto" w:after="120"/>
        <w:ind w:firstLine="709"/>
        <w:jc w:val="both"/>
      </w:pPr>
      <w:r>
        <w:rPr>
          <w:b w:val="0"/>
        </w:rPr>
        <w:t>Nestes termos, pede deferimento.</w:t>
      </w:r>
    </w:p>
    <w:p>
      <w:pPr>
        <w:spacing w:line="360" w:lineRule="auto" w:after="120"/>
        <w:jc w:val="both"/>
      </w:pPr>
      <w:r>
        <w:rPr>
          <w:b w:val="0"/>
        </w:rPr>
        <w:t>Jequié/BA, data da assinatura eletrônica.</w:t>
      </w:r>
    </w:p>
    <w:p>
      <w:pPr>
        <w:spacing w:line="360" w:lineRule="auto" w:after="120"/>
        <w:jc w:val="center"/>
      </w:pPr>
      <w:r>
        <w:rPr>
          <w:b w:val="0"/>
        </w:rPr>
        <w:t>CLEYTON DA SILVA BARBOSA</w:t>
        <w:br/>
        <w:t>OAB/MS 17.311 — OAB/BA 92.148</w:t>
      </w:r>
    </w:p>
    <w:p>
      <w:r>
        <w:br w:type="page"/>
      </w:r>
    </w:p>
    <w:p>
      <w:pPr>
        <w:keepNext/>
        <w:spacing w:line="360" w:lineRule="auto" w:after="120" w:before="200"/>
        <w:jc w:val="left"/>
        <w:pBdr>
          <w:bottom w:val="single" w:sz="6" w:space="1" w:color="1F3864"/>
        </w:pBdr>
      </w:pPr>
      <w:r>
        <w:rPr>
          <w:b/>
          <w:color w:val="1F3864"/>
          <w:sz w:val="26"/>
        </w:rPr>
        <w:t>PARTE B — RAZÕES DO RECURSO INOMINADO</w:t>
      </w:r>
    </w:p>
    <w:p>
      <w:pPr>
        <w:spacing w:line="360" w:lineRule="auto" w:after="120"/>
        <w:jc w:val="both"/>
      </w:pPr>
      <w:r>
        <w:rPr>
          <w:b/>
        </w:rPr>
        <w:t>EGRÉGIA TURMA RECURSAL DOS JUIZADOS ESPECIAIS DO ESTADO DA BAHIA [VERIFICAR ANTES DE PROTOCOLAR — TURMA COMPETENTE]</w:t>
      </w:r>
    </w:p>
    <w:tbl>
      <w:tblPr>
        <w:tblStyle w:val="TableGrid"/>
        <w:tblW w:type="auto" w:w="0"/>
        <w:jc w:val="center"/>
        <w:tblLook w:firstColumn="1" w:firstRow="1" w:lastColumn="0" w:lastRow="0" w:noHBand="0" w:noVBand="1" w:val="04A0"/>
      </w:tblPr>
      <w:tblGrid>
        <w:gridCol w:w="4535"/>
        <w:gridCol w:w="4535"/>
      </w:tblGrid>
      <w:tr>
        <w:tc>
          <w:tcPr>
            <w:tcW w:type="dxa" w:w="2268"/>
            <w:shd w:val="clear" w:fill="D9E2F3"/>
          </w:tcPr>
          <w:p>
            <w:pPr>
              <w:spacing w:line="240" w:lineRule="auto"/>
            </w:pPr>
            <w:r/>
            <w:r>
              <w:rPr>
                <w:b/>
                <w:sz w:val="20"/>
              </w:rPr>
              <w:t>Recorrente</w:t>
            </w:r>
          </w:p>
        </w:tc>
        <w:tc>
          <w:tcPr>
            <w:tcW w:type="dxa" w:w="6236"/>
            <w:shd w:val="clear" w:fill="D9E2F3"/>
          </w:tcPr>
          <w:p>
            <w:pPr>
              <w:spacing w:line="240" w:lineRule="auto"/>
            </w:pPr>
            <w:r/>
            <w:r>
              <w:rPr>
                <w:b/>
                <w:sz w:val="20"/>
              </w:rPr>
              <w:t>LUCAS SOUZA CHAVES</w:t>
            </w:r>
          </w:p>
        </w:tc>
      </w:tr>
      <w:tr>
        <w:tc>
          <w:tcPr>
            <w:tcW w:type="dxa" w:w="2268"/>
          </w:tcPr>
          <w:p>
            <w:pPr>
              <w:spacing w:line="240" w:lineRule="auto"/>
            </w:pPr>
            <w:r/>
            <w:r>
              <w:rPr>
                <w:b w:val="0"/>
                <w:sz w:val="20"/>
              </w:rPr>
              <w:t>Recorrida</w:t>
            </w:r>
          </w:p>
        </w:tc>
        <w:tc>
          <w:tcPr>
            <w:tcW w:type="dxa" w:w="6236"/>
          </w:tcPr>
          <w:p>
            <w:pPr>
              <w:spacing w:line="240" w:lineRule="auto"/>
            </w:pPr>
            <w:r/>
            <w:r>
              <w:rPr>
                <w:b w:val="0"/>
                <w:sz w:val="20"/>
              </w:rPr>
              <w:t>AME DIGITAL BRASIL INSTITUIÇÃO DE PAGAMENTO LTDA.</w:t>
            </w:r>
          </w:p>
        </w:tc>
      </w:tr>
      <w:tr>
        <w:tc>
          <w:tcPr>
            <w:tcW w:type="dxa" w:w="2268"/>
          </w:tcPr>
          <w:p>
            <w:pPr>
              <w:spacing w:line="240" w:lineRule="auto"/>
            </w:pPr>
            <w:r/>
            <w:r>
              <w:rPr>
                <w:b w:val="0"/>
                <w:sz w:val="20"/>
              </w:rPr>
              <w:t>Origem</w:t>
            </w:r>
          </w:p>
        </w:tc>
        <w:tc>
          <w:tcPr>
            <w:tcW w:type="dxa" w:w="6236"/>
          </w:tcPr>
          <w:p>
            <w:pPr>
              <w:spacing w:line="240" w:lineRule="auto"/>
            </w:pPr>
            <w:r/>
            <w:r>
              <w:rPr>
                <w:b w:val="0"/>
                <w:sz w:val="20"/>
              </w:rPr>
              <w:t>Processo nº 0003500-19.2026.8.05.0141 — 1ª Vara do Sistema dos Juizados de Jequié/BA</w:t>
            </w:r>
          </w:p>
        </w:tc>
      </w:tr>
    </w:tbl>
    <w:p/>
    <w:p>
      <w:pPr>
        <w:spacing w:line="360" w:lineRule="auto" w:after="120"/>
        <w:jc w:val="both"/>
      </w:pPr>
      <w:r>
        <w:rPr>
          <w:b w:val="0"/>
        </w:rPr>
        <w:t>Colenda Turma,</w:t>
        <w:br/>
        <w:t>Eméritos Julgadores,</w:t>
      </w:r>
    </w:p>
    <w:p>
      <w:pPr>
        <w:keepNext/>
        <w:spacing w:line="360" w:lineRule="auto" w:after="120" w:before="200"/>
        <w:jc w:val="left"/>
        <w:pBdr>
          <w:bottom w:val="single" w:sz="6" w:space="1" w:color="1F3864"/>
        </w:pBdr>
      </w:pPr>
      <w:r>
        <w:rPr>
          <w:b/>
          <w:color w:val="1F3864"/>
          <w:sz w:val="24"/>
        </w:rPr>
        <w:t>I — SÍNTESE DA DEMANDA E DA SENTENÇA RECORRIDA</w:t>
      </w:r>
    </w:p>
    <w:p>
      <w:pPr>
        <w:spacing w:line="360" w:lineRule="auto" w:after="120"/>
        <w:ind w:firstLine="709"/>
        <w:jc w:val="both"/>
      </w:pPr>
      <w:r>
        <w:rPr>
          <w:b w:val="0"/>
        </w:rPr>
        <w:t>O recorrente consultou o Registrato/CCS do Banco Central e descobriu relacionamento financeiro em seu nome e CPF com a recorrida, aberto em 30/06/2021 e encerrado em 23/11/2024, que jamais solicitou ou autorizou. Ajuizou a presente ação pedindo a declaração de inexistência da relação jurídica, a exclusão de seus dados, danos morais de R$ 8.000,00 e R$ 2.000,00 a título de desvio produtivo.</w:t>
      </w:r>
    </w:p>
    <w:p>
      <w:pPr>
        <w:spacing w:line="360" w:lineRule="auto" w:after="120"/>
        <w:ind w:firstLine="709"/>
        <w:jc w:val="both"/>
      </w:pPr>
      <w:r>
        <w:rPr>
          <w:b w:val="0"/>
        </w:rPr>
        <w:t xml:space="preserve">A sentença julgou improcedentes todos os pedidos. Declarou aplicável a inversão do ônus da prova, mas entendeu que a recorrida a cumpriu ao apresentar "registro de biometria facial do demandante", cabendo ao autor "demonstrar adulteração, utilização da imagem em contexto diverso" ou outra inconsistência. Acrescentou, como fundamento autônomo, que sem negativação, cobrança ou prejuízo patrimonial não haveria dano moral. </w:t>
      </w:r>
      <w:r>
        <w:rPr>
          <w:b/>
        </w:rPr>
        <w:t>A ratio decidendi é, portanto, dupla: (i) uma fotografia em tela interna da ré bastaria para provar a contratação e (ii) sem prejuízo concreto não há dano.</w:t>
      </w:r>
      <w:r>
        <w:rPr>
          <w:b w:val="0"/>
        </w:rPr>
        <w:t xml:space="preserve"> Ambas serão atacadas.</w:t>
      </w:r>
    </w:p>
    <w:p>
      <w:pPr>
        <w:keepNext/>
        <w:spacing w:line="360" w:lineRule="auto" w:after="120" w:before="200"/>
        <w:jc w:val="left"/>
        <w:pBdr>
          <w:bottom w:val="single" w:sz="6" w:space="1" w:color="1F3864"/>
        </w:pBdr>
      </w:pPr>
      <w:r>
        <w:rPr>
          <w:b/>
          <w:color w:val="1F3864"/>
          <w:sz w:val="24"/>
        </w:rPr>
        <w:t>II — DA ADMISSIBILIDADE E DA GRATUIDADE DA JUSTIÇA</w:t>
      </w:r>
    </w:p>
    <w:p>
      <w:pPr>
        <w:spacing w:line="360" w:lineRule="auto" w:after="120"/>
        <w:ind w:firstLine="709"/>
        <w:jc w:val="both"/>
      </w:pPr>
      <w:r>
        <w:rPr>
          <w:b w:val="0"/>
        </w:rPr>
        <w:t>O recurso é cabível (art. 41, Lei nº 9.099/95), tempestivo e dispensa preparo, pelas razões a seguir.</w:t>
      </w:r>
    </w:p>
    <w:p>
      <w:pPr>
        <w:spacing w:line="360" w:lineRule="auto" w:after="120"/>
        <w:ind w:firstLine="709"/>
        <w:jc w:val="both"/>
      </w:pPr>
      <w:r>
        <w:rPr>
          <w:b w:val="0"/>
        </w:rPr>
        <w:t xml:space="preserve">A recorrida impugnou a gratuidade alegando, sem prova, que o autor não demonstrou a insuficiência de recursos. A sentença não decidiu a questão. A declaração de hipossuficiência goza de presunção de veracidade (art. 99, § 3º, CPC), e o art. 5º, LXXIV, da Constituição assegura assistência jurídica integral aos que comprovem insuficiência de recursos. </w:t>
      </w:r>
      <w:r>
        <w:rPr>
          <w:b/>
        </w:rPr>
        <w:t>A comprovação consta agora dos autos:</w:t>
      </w:r>
      <w:r>
        <w:rPr>
          <w:b w:val="0"/>
        </w:rPr>
        <w:t xml:space="preserve"> a Carteira de Trabalho Digital, assinada digitalmente pela Dataprev em 29/07/2026, mostra vínculo ativo como estoquista desde 20/01/2021, com remuneração de R$ 1.653,00 desde 01/04/2026, e o histórico salarial de pouco mais de um salário mínimo ao longo dos anos.</w:t>
      </w:r>
    </w:p>
    <w:p>
      <w:pPr>
        <w:spacing w:line="360" w:lineRule="auto" w:after="120"/>
        <w:ind w:firstLine="709"/>
        <w:jc w:val="both"/>
      </w:pPr>
      <w:r>
        <w:rPr>
          <w:b w:val="0"/>
        </w:rPr>
        <w:t>Por lealdade processual, registra-se a retificação de um ponto: a inicial mencionou que o autor viveria de benefício previdenciário. A documentação ora juntada demonstra que sua renda provém de salário, em patamar próximo do mínimo nacional. A hipossuficiência, que é o que importa, permanece plenamente demonstrada: a renda de um salário mínimo, que mal supre as necessidades básicas de um trabalhador, não comporta o pagamento de preparo e de eventual sucumbência sem prejuízo do sustento. Requer-se o deferimento da gratuidade, inclusive para fins de suspensão da exigibilidade de eventual sucumbência recursal (art. 98, § 3º, CPC) [VERIFICAR ANTES DE PROTOCOLAR].</w:t>
      </w:r>
    </w:p>
    <w:p>
      <w:pPr>
        <w:spacing w:line="360" w:lineRule="auto" w:after="120"/>
        <w:ind w:firstLine="709"/>
        <w:jc w:val="both"/>
      </w:pPr>
      <w:r>
        <w:rPr>
          <w:b w:val="0"/>
        </w:rPr>
        <w:t>A juntada da CTPS não constitui inovação probatória de mérito: destina-se exclusivamente à apreciação de pedido de gratuidade, questão de admissibilidade que a sentença deixou em aberto.</w:t>
      </w:r>
    </w:p>
    <w:p>
      <w:pPr>
        <w:keepNext/>
        <w:spacing w:line="360" w:lineRule="auto" w:after="120" w:before="200"/>
        <w:jc w:val="left"/>
        <w:pBdr>
          <w:bottom w:val="single" w:sz="6" w:space="1" w:color="1F3864"/>
        </w:pBdr>
      </w:pPr>
      <w:r>
        <w:rPr>
          <w:b/>
          <w:color w:val="1F3864"/>
          <w:sz w:val="24"/>
        </w:rPr>
        <w:t>III — DA DELIMITAÇÃO DO OBJETO DO RECURSO</w:t>
      </w:r>
    </w:p>
    <w:p>
      <w:pPr>
        <w:spacing w:line="360" w:lineRule="auto" w:after="120"/>
        <w:ind w:firstLine="709"/>
        <w:jc w:val="both"/>
      </w:pPr>
      <w:r>
        <w:rPr>
          <w:b w:val="0"/>
        </w:rPr>
        <w:t>Como a improcedência foi total, devolve-se à Turma o reexame integral: o mérito da contratação (IV.1 a IV.3), o dano moral e o desvio produtivo (IV.4), e a obrigação de fazer (IV.5). Não há capítulo favorável ao recorrente a preservar, salvo o afastamento da litigância de má-fé, com o qual o recorrente concorda.</w:t>
      </w:r>
    </w:p>
    <w:p>
      <w:pPr>
        <w:keepNext/>
        <w:spacing w:line="360" w:lineRule="auto" w:after="120" w:before="200"/>
        <w:jc w:val="left"/>
        <w:pBdr>
          <w:bottom w:val="single" w:sz="6" w:space="1" w:color="1F3864"/>
        </w:pBdr>
      </w:pPr>
      <w:r>
        <w:rPr>
          <w:b/>
          <w:color w:val="1F3864"/>
          <w:sz w:val="24"/>
        </w:rPr>
        <w:t>IV — DAS RAZÕES DE REFORMA</w:t>
      </w:r>
    </w:p>
    <w:p>
      <w:pPr>
        <w:keepNext/>
        <w:spacing w:line="360" w:lineRule="auto" w:after="120" w:before="200"/>
        <w:jc w:val="left"/>
      </w:pPr>
      <w:r>
        <w:rPr>
          <w:b/>
          <w:color w:val="1F3864"/>
          <w:sz w:val="24"/>
        </w:rPr>
        <w:t>IV.1 — DO ERRO NA DISTRIBUIÇÃO DO ÔNUS DA PROVA: A SENTENÇA INVERTEU E, EM SEGUIDA, DESINVERTEU</w:t>
      </w:r>
    </w:p>
    <w:p>
      <w:pPr>
        <w:spacing w:line="360" w:lineRule="auto" w:after="120"/>
        <w:ind w:firstLine="709"/>
        <w:jc w:val="both"/>
      </w:pPr>
      <w:r>
        <w:rPr>
          <w:b w:val="0"/>
        </w:rPr>
        <w:t>A sentença declara que "o presente feito comporta também, a inversão do ônus da prova". Em seguida, conclui que "caberia ao autor apresentar elemento concreto capaz de infirmar a autenticidade ou a vinculação da biometria ao procedimento questionado, demonstrando, por exemplo, adulteração, utilização da imagem em contexto diverso, inconsistência dos dados de autenticação". E arremata: "a simples negativa da contratação, desacompanhada de elemento objetivo capaz de afastar a prova biométrica, não se mostra suficiente".</w:t>
      </w:r>
    </w:p>
    <w:p>
      <w:pPr>
        <w:spacing w:line="360" w:lineRule="auto" w:after="120"/>
        <w:ind w:firstLine="709"/>
        <w:jc w:val="both"/>
      </w:pPr>
      <w:r>
        <w:rPr>
          <w:b w:val="0"/>
        </w:rPr>
        <w:t xml:space="preserve">Isso é </w:t>
      </w:r>
      <w:r>
        <w:rPr>
          <w:b/>
        </w:rPr>
        <w:t>error in judicando de direito</w:t>
      </w:r>
      <w:r>
        <w:rPr>
          <w:b w:val="0"/>
        </w:rPr>
        <w:t>. Inverter o ônus significa que a ré deve provar a regularidade da contratação, fato impeditivo do direito do autor (art. 373, II, CPC; art. 6º, VIII, CDC). A sentença devolveu ao consumidor o encargo de provar que uma imagem mantida pela ré, em sistema a que só ela tem acesso, foi adulterada, prova diabólica de fato negativo e, por definição, impossível. O autor não tem acesso ao servidor da ré, ao dispositivo que capturou a imagem, ao IP, ao registro de SMS ou ao motor biométrico. Quem detém a aptidão para a prova suporta o encargo (art. 373, § 1º, CPC).</w:t>
      </w:r>
    </w:p>
    <w:p>
      <w:pPr>
        <w:spacing w:line="360" w:lineRule="auto" w:after="120"/>
        <w:ind w:firstLine="709"/>
        <w:jc w:val="both"/>
      </w:pPr>
      <w:r>
        <w:rPr>
          <w:b w:val="0"/>
        </w:rPr>
        <w:t>A responsabilidade da ré é objetiva (art. 14, CDC). A abertura de conta por terceiro, com dados do consumidor, é fortuito interno (Súmula 479/STJ). Cabia à ré demonstrar a culpa exclusiva de quem alega ter sido vítima, e não ao consumidor provar a inexistência de vontade que nunca manifestou.</w:t>
      </w:r>
    </w:p>
    <w:p>
      <w:pPr>
        <w:keepNext/>
        <w:spacing w:line="360" w:lineRule="auto" w:after="120" w:before="200"/>
        <w:jc w:val="left"/>
      </w:pPr>
      <w:r>
        <w:rPr>
          <w:b/>
          <w:color w:val="1F3864"/>
          <w:sz w:val="24"/>
        </w:rPr>
        <w:t>IV.2 — DO ERRO NA VALORAÇÃO DA PROVA DA RÉ: UMA FOTOGRAFIA EM PRINT INTERNO NÃO É CONTRATO</w:t>
      </w:r>
    </w:p>
    <w:p>
      <w:pPr>
        <w:spacing w:line="360" w:lineRule="auto" w:after="120"/>
        <w:ind w:firstLine="709"/>
        <w:jc w:val="both"/>
      </w:pPr>
      <w:r>
        <w:rPr>
          <w:b w:val="0"/>
        </w:rPr>
        <w:t xml:space="preserve">O autor reconhece, com a devida lealdade, que a contestação traz dois prints da ferramenta interna "Ame SAC" (Id. 205513506, págs. 81 e 82): um com dados cadastrais e quatro transações, e outro com uma linha "Selfie", rótulo "Liveness: Aprovado" e data de modificação 30/06/2021, 14:38. A réplica, ao afirmar que não havia selfie nem tela específica, não refletiu com precisão esse conteúdo, e a sentença corretamente o notou. O ponto, porém, não é a existência do print. </w:t>
      </w:r>
      <w:r>
        <w:rPr>
          <w:b/>
        </w:rPr>
        <w:t>É o que ele prova, e o que ele não prova.</w:t>
      </w:r>
    </w:p>
    <w:p>
      <w:pPr>
        <w:spacing w:line="360" w:lineRule="auto" w:after="120"/>
        <w:ind w:firstLine="709"/>
        <w:jc w:val="both"/>
      </w:pPr>
      <w:r>
        <w:rPr>
          <w:b/>
        </w:rPr>
        <w:t>a) Não há contrato, termo de aceite ou assinatura, de qualquer espécie, em lugar algum dos autos.</w:t>
      </w:r>
      <w:r>
        <w:rPr>
          <w:b w:val="0"/>
        </w:rPr>
        <w:t xml:space="preserve"> A contestação afirma que o cadastro exigia "selecionar a opção de Termo de aceite", mas não junta o termo aceito pelo autor, com data, hora, IP, dispositivo ou hash de integridade. Junta apenas um link para os Termos de Uso genéricos do site (Id. 205513506, pág. 83). A assinatura eletrônica, ainda que simples, exige manifestação de aceitação das partes (MP 2.200-2/2001, art. 10, § 2º; Lei nº 14.063/2020), e o negócio jurídico exige manifestação de vontade do agente capaz (art. 104, CC). </w:t>
      </w:r>
      <w:r>
        <w:rPr>
          <w:b/>
        </w:rPr>
        <w:t>Não há nos autos um único documento em que a vontade do autor esteja registrada.</w:t>
      </w:r>
      <w:r>
        <w:rPr>
          <w:b w:val="0"/>
        </w:rPr>
        <w:t xml:space="preserve"> A sentença concluiu pela contratação sem indicar qual ato de vontade, praticado por quem, em que dia e por qual meio, foi provado.</w:t>
      </w:r>
    </w:p>
    <w:p>
      <w:pPr>
        <w:spacing w:line="360" w:lineRule="auto" w:after="120"/>
        <w:ind w:firstLine="709"/>
        <w:jc w:val="both"/>
      </w:pPr>
      <w:r>
        <w:rPr>
          <w:b/>
        </w:rPr>
        <w:t>b) A "biometria" é uma fotografia e um rótulo de tela.</w:t>
      </w:r>
      <w:r>
        <w:rPr>
          <w:b w:val="0"/>
        </w:rPr>
        <w:t xml:space="preserve"> A sentença tratou como "elemento individualizado de autenticação" uma imagem exibida em tela de uso interno, sob o rótulo "Liveness: Aprovado". Uma selfie isolada prova que um rosto foi fotografado, não que o autor solicitou a abertura da conta. O rótulo é uma afirmação da própria ré sobre o resultado de um processo cujo funcionamento ela não demonstrou: não há relatório técnico, algoritmo, índice de similaridade, limiar de aceitação, prova de captura viva, dispositivo, IP ou geolocalização. Ao contrário dos casos em que as instituições juntam ao menos um laudo de terceiro, aqui há apenas a palavra da ré, registrada por ela própria em ferramenta por ela operada, sem atestação por terceiro e sem submissão a contraditório.</w:t>
      </w:r>
    </w:p>
    <w:p>
      <w:pPr>
        <w:spacing w:line="360" w:lineRule="auto" w:after="120"/>
        <w:ind w:firstLine="709"/>
        <w:jc w:val="both"/>
      </w:pPr>
      <w:r>
        <w:rPr>
          <w:b/>
        </w:rPr>
        <w:t>c) A imagem não tem com o que ser cotejada.</w:t>
      </w:r>
      <w:r>
        <w:rPr>
          <w:b w:val="0"/>
        </w:rPr>
        <w:t xml:space="preserve"> O print não exibe o documento oficial (RG ou CNH) supostamente fornecido no cadastro, nem qualquer resultado de comparação entre a imagem e um documento. Faltando o elemento de confronto, não há "biometria" em sentido técnico: há uma imagem solta. Nada nos autos demonstra que a fotografia foi capturada, naquele momento, pelo autor, e não inserida por terceiro que se valeu de dados do titular.</w:t>
      </w:r>
    </w:p>
    <w:p>
      <w:pPr>
        <w:spacing w:line="360" w:lineRule="auto" w:after="120"/>
        <w:ind w:firstLine="709"/>
        <w:jc w:val="both"/>
      </w:pPr>
      <w:r>
        <w:rPr>
          <w:b/>
        </w:rPr>
        <w:t>d) Os canais de autenticação não foram atribuídos ao autor.</w:t>
      </w:r>
      <w:r>
        <w:rPr>
          <w:b w:val="0"/>
        </w:rPr>
        <w:t xml:space="preserve"> A ré diz que o cadastro exigia confirmação por SMS e validação de e-mail. O print mostra um e-mail e um número de telefone, com "e-mail confirmado: Sim". Não há log de envio ou de confirmação, nem prova de que o e-mail ou o telefone pertençam ao autor. Por sua vez, a própria inicial e a procuração registram que o autor não possui endereço eletrônico. Canal cadastrado não se confunde com canal do titular. O dever de identificação adequada do contratante é da instituição (Res. CMN nº 4.753/2019, arts. 2º e 4º; Res. BCB nº 96/2021).</w:t>
      </w:r>
    </w:p>
    <w:p>
      <w:pPr>
        <w:spacing w:line="360" w:lineRule="auto" w:after="120"/>
        <w:ind w:firstLine="709"/>
        <w:jc w:val="both"/>
      </w:pPr>
      <w:r>
        <w:rPr>
          <w:b/>
        </w:rPr>
        <w:t>e) O uso residual da conta não prova consentimento na abertura.</w:t>
      </w:r>
      <w:r>
        <w:rPr>
          <w:b w:val="0"/>
        </w:rPr>
        <w:t xml:space="preserve"> O print lista um cashback de R$ 0,15 (2021) e, em 2022, um depósito de R$ 10,00, uma compra de R$ 7,96 e um Pix de R$ 2,16. A sentença nem sequer se apoiou nessas operações. Seriam, em qualquer hipótese, movimentações ínfimas, incapazes de provar a manifestação de vontade que deveria existir em 30/06/2021, e compatíveis com uso de terceiro. A própria ré afirma que o autor "vinculou-se voluntariamente ... a fim de beneficiar-se do programa de cashback", mas não indica nenhum benefício recebido pelo autor, nenhum saque, nenhuma transferência a conta do autor. A ré não demonstra que o titular usufruiu de qualquer vantagem.</w:t>
      </w:r>
    </w:p>
    <w:p>
      <w:pPr>
        <w:spacing w:line="360" w:lineRule="auto" w:after="120"/>
        <w:ind w:firstLine="709"/>
        <w:jc w:val="both"/>
      </w:pPr>
      <w:r>
        <w:rPr>
          <w:b/>
        </w:rPr>
        <w:t>f) O livre convencimento não dispensa a prova.</w:t>
      </w:r>
      <w:r>
        <w:rPr>
          <w:b w:val="0"/>
        </w:rPr>
        <w:t xml:space="preserve"> A sentença afirma que a demonstração da contratação eletrônica não exige a apresentação cumulativa de IP, SMS, hash, telefone, e-mail e biometria. O recorrente não defende cumulatividade. Defende que </w:t>
      </w:r>
      <w:r>
        <w:rPr>
          <w:b/>
        </w:rPr>
        <w:t>nenhum</w:t>
      </w:r>
      <w:r>
        <w:rPr>
          <w:b w:val="0"/>
        </w:rPr>
        <w:t xml:space="preserve"> desses elementos foi apresentado de forma técnica e individualizada. Nem um deles, isoladamente, existe nos autos como prova verificável. O que existe é uma tela. A ausência total de trilha de auditoria de uma abertura de conta regulada, em instituição obrigada a identificar o cliente (Res. BCB nº 96/2021), não pode ser suprida pela mera afirmação de que o processo "era realizado diretamente por telefone celular".</w:t>
      </w:r>
    </w:p>
    <w:p>
      <w:pPr>
        <w:spacing w:line="360" w:lineRule="auto" w:after="120"/>
        <w:ind w:firstLine="709"/>
        <w:jc w:val="both"/>
      </w:pPr>
      <w:r>
        <w:rPr>
          <w:b w:val="0"/>
        </w:rPr>
        <w:t>Reexaminada a prova documental já nos autos, que a Turma pode fazer em profundidade (art. 1.013, §§ 1º e 2º, CPC), conclui-se que a sentença elevou indício unilateral e frágil à condição de prova plena, em inversão indevida do encargo probatório.</w:t>
      </w:r>
    </w:p>
    <w:p>
      <w:pPr>
        <w:keepNext/>
        <w:spacing w:line="360" w:lineRule="auto" w:after="120" w:before="200"/>
        <w:jc w:val="left"/>
      </w:pPr>
      <w:r>
        <w:rPr>
          <w:b/>
          <w:color w:val="1F3864"/>
          <w:sz w:val="24"/>
        </w:rPr>
        <w:t>IV.3 — DA SUPOSTA "IMPUGNAÇÃO GENÉRICA" E DAS EXIGÊNCIAS QUE O RITO NÃO COMPORTA</w:t>
      </w:r>
    </w:p>
    <w:p>
      <w:pPr>
        <w:spacing w:line="360" w:lineRule="auto" w:after="120"/>
        <w:ind w:firstLine="709"/>
        <w:jc w:val="both"/>
      </w:pPr>
      <w:r>
        <w:rPr>
          <w:b w:val="0"/>
        </w:rPr>
        <w:t>A sentença reprova a impugnação do autor por não demonstrar "adulteração, utilização da imagem em contexto diverso, inconsistência dos dados de autenticação". Ainda que se admita que a réplica poderia ter sido mais específica, a questão é de direito e de reexame de prova documental já produzida, devolvida à Turma. A impugnação específica consta do item IV.2, documento por documento.</w:t>
      </w:r>
    </w:p>
    <w:p>
      <w:pPr>
        <w:spacing w:line="360" w:lineRule="auto" w:after="120"/>
        <w:ind w:firstLine="709"/>
        <w:jc w:val="both"/>
      </w:pPr>
      <w:r>
        <w:rPr>
          <w:b w:val="0"/>
        </w:rPr>
        <w:t>Além disso, as exigências feitas ao autor são impossíveis de cumprir. Provar adulteração de imagem exigiria perícia técnica sobre o servidor da ré, sobre o aparelho de captura e sobre o motor biométrico, o que é incompatível com o rito sumaríssimo (art. 35, IV, Lei nº 9.099/95 [VERIFICAR ANTES DE PROTOCOLAR — conferir redação]) e com a competência dos Juizados para causas de menor complexidade. O Juízo não pode exigir do consumidor prova que o próprio rito não lhe permite produzir, e que só a ré, como detentora dos logs e dos sistemas, poderia apresentar. O autor, inclusive, compareceu pessoalmente à Secretaria e à audiência, reiterando sua negativa, e o Juízo determinou o regular prosseguimento do feito (Id. 205483486).</w:t>
      </w:r>
    </w:p>
    <w:p>
      <w:pPr>
        <w:keepNext/>
        <w:spacing w:line="360" w:lineRule="auto" w:after="120" w:before="200"/>
        <w:jc w:val="left"/>
      </w:pPr>
      <w:r>
        <w:rPr>
          <w:b/>
          <w:color w:val="1F3864"/>
          <w:sz w:val="24"/>
        </w:rPr>
        <w:t>IV.4 — DO DANO MORAL E DO DESVIO PRODUTIVO</w:t>
      </w:r>
    </w:p>
    <w:p>
      <w:pPr>
        <w:spacing w:line="360" w:lineRule="auto" w:after="120"/>
        <w:ind w:firstLine="709"/>
        <w:jc w:val="both"/>
      </w:pPr>
      <w:r>
        <w:rPr>
          <w:b w:val="0"/>
        </w:rPr>
        <w:t xml:space="preserve">A sentença afirma que, ainda que se presumisse a falha da ré, não haveria dano sem negativação, cobrança, crédito ou prejuízo patrimonial, e que a LGPD não gera dano automático. Reconhecida a fraude, como se requer, </w:t>
      </w:r>
      <w:r>
        <w:rPr>
          <w:b/>
        </w:rPr>
        <w:t>essa premissa deve ser reformada.</w:t>
      </w:r>
    </w:p>
    <w:p>
      <w:pPr>
        <w:spacing w:line="360" w:lineRule="auto" w:after="120"/>
        <w:ind w:firstLine="709"/>
        <w:jc w:val="both"/>
      </w:pPr>
      <w:r>
        <w:rPr>
          <w:b/>
        </w:rPr>
        <w:t>a) Responsabilidade objetiva e violação de direito da personalidade.</w:t>
      </w:r>
      <w:r>
        <w:rPr>
          <w:b w:val="0"/>
        </w:rPr>
        <w:t xml:space="preserve"> Quem tem o CPF utilizado para abrir relacionamento financeiro, sem saber, durante três anos e cinco meses (30/06/2021 a 23/11/2024), tem sua identidade usurpada e seus dados tratados à sua revelia em uma instituição financeira regulada, com registro em sistema oficial do Banco Central. O dano decorre do próprio fato: a inviolabilidade da intimidade e da vida privada (art. 5º, X, CF) é violada quando terceiro constitui relação em nome do titular. A ré responde objetivamente (art. 14, CDC; Súmula 479/STJ), e a sentença confundiu a dispensa de culpa com a exigência de prejuízo patrimonial, que é dano diverso do extrapatrimonial.</w:t>
      </w:r>
    </w:p>
    <w:p>
      <w:pPr>
        <w:spacing w:line="360" w:lineRule="auto" w:after="120"/>
        <w:ind w:firstLine="709"/>
        <w:jc w:val="both"/>
      </w:pPr>
      <w:r>
        <w:rPr>
          <w:b/>
        </w:rPr>
        <w:t>b) Tratamento ilícito de dados pessoais.</w:t>
      </w:r>
      <w:r>
        <w:rPr>
          <w:b w:val="0"/>
        </w:rPr>
        <w:t xml:space="preserve"> Não havendo prova de consentimento nem de outra base legal (art. 7º, I, LGPD), a coleta, o armazenamento e o uso do nome, CPF, data de nascimento, imagem e dados de contato do autor por mais de três anos configuram tratamento irregular. A ré, controladora (art. 5º, VI), responde objetivamente (art. 42) e falhou nos deveres de segurança e prevenção (arts. 6º, VII e VIII, e 46). A sentença afirmou que "havia fundamento jurídico para o tratamento" caso o vínculo fosse regular, raciocínio que depende inteiramente de a contratação ter sido provada, o que não ocorreu.</w:t>
      </w:r>
    </w:p>
    <w:p>
      <w:pPr>
        <w:spacing w:line="360" w:lineRule="auto" w:after="120"/>
        <w:ind w:firstLine="709"/>
        <w:jc w:val="both"/>
      </w:pPr>
      <w:r>
        <w:rPr>
          <w:b/>
        </w:rPr>
        <w:t>c) O entendimento do Superior Tribunal de Justiça.</w:t>
      </w:r>
      <w:r>
        <w:rPr>
          <w:b w:val="0"/>
        </w:rPr>
        <w:t xml:space="preserve"> A Terceira Turma, no REsp nº 2.201.694/SP (Rel. originário Min. Ricardo Villas Bôas Cueva; voto vencedor da Min. Nancy Andrighi; julgado em 05/08/2025, publicado em 15/08/2025), reafirmou, com base nos REsps 2.133.261/SP e 2.115.461/SP, que "a inobservância dos deveres associados ao tratamento (que inclui a coleta, o armazenamento e a transferência a terceiros) dos dados do titular ... faz nascer para este a pretensão de indenização pelos danos causados", e que a violação desses deveres "caracteriza dano moral presumido (in re ipsa) ao cadastrado titular dos dados, diante, sobretudo, da forte sensação de insegurança por ele experimentada", com responsabilidade objetiva nos termos dos arts. 42 e 43, II, da LGPD. No caso concreto, o Tribunal deu provimento ao recurso do titular e fixou R$ 11.000,00, </w:t>
      </w:r>
      <w:r>
        <w:rPr>
          <w:b/>
        </w:rPr>
        <w:t>afastando precisamente a tese de que a ausência de prova de uso lesivo dos dados impediria a reparação</w:t>
      </w:r>
      <w:r>
        <w:rPr>
          <w:b w:val="0"/>
        </w:rPr>
        <w:t>.</w:t>
      </w:r>
    </w:p>
    <w:p>
      <w:pPr>
        <w:spacing w:line="360" w:lineRule="auto" w:after="120"/>
        <w:ind w:firstLine="709"/>
        <w:jc w:val="both"/>
      </w:pPr>
      <w:r>
        <w:rPr>
          <w:b w:val="0"/>
        </w:rPr>
        <w:t xml:space="preserve">Reconhece-se que o precedente versa sobre gestor de banco de dados e disponibilização a terceiros, hipótese distinta da dos autos. Não se invoca como identidade de fatos, mas pela </w:t>
      </w:r>
      <w:r>
        <w:rPr>
          <w:b/>
        </w:rPr>
        <w:t>razão de decidir</w:t>
      </w:r>
      <w:r>
        <w:rPr>
          <w:b w:val="0"/>
        </w:rPr>
        <w:t xml:space="preserve">: o descumprimento dos deveres de tratamento de dados pessoais, sem consentimento ou base legal, gera por si dano presumido, pela insegurança que causa ao titular, sem exigência de prova de uso posterior lesivo. Situação com ainda maior gravidade ocorre aqui, em que os dados foram usados para </w:t>
      </w:r>
      <w:r>
        <w:rPr>
          <w:b/>
        </w:rPr>
        <w:t>constituir relação jurídica inexistente</w:t>
      </w:r>
      <w:r>
        <w:rPr>
          <w:b w:val="0"/>
        </w:rPr>
        <w:t xml:space="preserve"> em nome do titular, e não apenas armazenados.</w:t>
      </w:r>
    </w:p>
    <w:p>
      <w:pPr>
        <w:spacing w:line="360" w:lineRule="auto" w:after="120"/>
        <w:ind w:firstLine="709"/>
        <w:jc w:val="both"/>
      </w:pPr>
      <w:r>
        <w:rPr>
          <w:b/>
        </w:rPr>
        <w:t>d) Os precedentes contrários invocados pela ré.</w:t>
      </w:r>
      <w:r>
        <w:rPr>
          <w:b w:val="0"/>
        </w:rPr>
        <w:t xml:space="preserve"> A contestação cita o REsp nº 2.221.650/SP (4ª Turma, Rel. Min. Maria Isabel Gallotti, Info 871), como exigindo prova de uso ilícito e de abalo significativo, e acórdãos do TJGO sobre mera irregularidade contratual sem negativação. Sem prejuízo da conferência de seu inteiro teor [VERIFICAR ANTES DE PROTOCOLAR], a tese resumida pela própria ré refere-se à "disponibilização de dados pessoais não sensíveis", e os acórdãos estaduais tratam de cartão consignado contratado, sem informação clara. Nenhum desses casos cuida da </w:t>
      </w:r>
      <w:r>
        <w:rPr>
          <w:b/>
        </w:rPr>
        <w:t>abertura de conta financeira em nome de quem nunca contratou</w:t>
      </w:r>
      <w:r>
        <w:rPr>
          <w:b w:val="0"/>
        </w:rPr>
        <w:t>, com registro do vínculo por três anos no CCS do Banco Central. A sentença, aliás, não cita nenhum precedente: fundamenta-se apenas na ausência de prejuízo patrimonial, o que a Terceira Turma do STJ afastou no acórdão mencionado. Eventual divergência entre as Turmas do STJ reforça a relevância da questão para fins de prequestionamento (Seção V).</w:t>
      </w:r>
    </w:p>
    <w:p>
      <w:pPr>
        <w:spacing w:line="360" w:lineRule="auto" w:after="120"/>
        <w:ind w:firstLine="709"/>
        <w:jc w:val="both"/>
      </w:pPr>
      <w:r>
        <w:rPr>
          <w:b/>
        </w:rPr>
        <w:t>e) Desvio produtivo do consumidor (pedido subsidiário).</w:t>
      </w:r>
      <w:r>
        <w:rPr>
          <w:b w:val="0"/>
        </w:rPr>
        <w:t xml:space="preserve"> O autor, ao descobrir o vínculo, tentou resolver o problema administrativamente (reclamação em 27/07/2026; requerimento escrito em 07/08/2026, Ids. 203921801 e 204674550), sem resposta da ré, e teve de ajuizar a ação. A ausência de resposta foi, inclusive, admitida indiretamente pela contestação, ao afirmar que não havia reclamações em seus sistemas. Requer-se a reforma também desse capítulo.</w:t>
      </w:r>
    </w:p>
    <w:p>
      <w:pPr>
        <w:spacing w:line="360" w:lineRule="auto" w:after="120"/>
        <w:ind w:firstLine="709"/>
        <w:jc w:val="both"/>
      </w:pPr>
      <w:r>
        <w:rPr>
          <w:b/>
        </w:rPr>
        <w:t>f) Valor e consectários.</w:t>
      </w:r>
      <w:r>
        <w:rPr>
          <w:b w:val="0"/>
        </w:rPr>
        <w:t xml:space="preserve"> Mantém-se o valor da inicial, </w:t>
      </w:r>
      <w:r>
        <w:rPr>
          <w:b/>
        </w:rPr>
        <w:t>R$ 8.000,00</w:t>
      </w:r>
      <w:r>
        <w:rPr>
          <w:b w:val="0"/>
        </w:rPr>
        <w:t>, proporcional à duração do vínculo (mais de três anos), à gravidade da violação, ao porte da ré e ao caráter pedagógico da condenação, com juros desde o evento danoso (Súmula 54/STJ), ou, ao menos, desde a citação, e correção monetária desde o arbitramento (Súmula 362/STJ), observado o art. 406 do Código Civil, na redação da Lei nº 14.905/2024, para o período posterior a 30/08/2024. Reitera-se o pedido de R$ 2.000,00 pelo desvio produtivo.</w:t>
      </w:r>
    </w:p>
    <w:p>
      <w:pPr>
        <w:keepNext/>
        <w:spacing w:line="360" w:lineRule="auto" w:after="120" w:before="200"/>
        <w:jc w:val="left"/>
      </w:pPr>
      <w:r>
        <w:rPr>
          <w:b/>
          <w:color w:val="1F3864"/>
          <w:sz w:val="24"/>
        </w:rPr>
        <w:t>IV.5 — DO ENCERRAMENTO DA CONTA E DA OBRIGAÇÃO DE FAZER</w:t>
      </w:r>
    </w:p>
    <w:p>
      <w:pPr>
        <w:spacing w:line="360" w:lineRule="auto" w:after="120"/>
        <w:ind w:firstLine="709"/>
        <w:jc w:val="both"/>
      </w:pPr>
      <w:r>
        <w:rPr>
          <w:b w:val="0"/>
        </w:rPr>
        <w:t xml:space="preserve">A sentença destaca que a conta foi encerrada em 23/11/2024, no contexto do Plano de Saída Organizada da ré, e que "inexiste atualmente conta ativa a ser cancelada". O encerramento da conta pela própria ré, por reestruturação empresarial, </w:t>
      </w:r>
      <w:r>
        <w:rPr>
          <w:b/>
        </w:rPr>
        <w:t>não elimina o ilícito praticado na origem</w:t>
      </w:r>
      <w:r>
        <w:rPr>
          <w:b w:val="0"/>
        </w:rPr>
        <w:t xml:space="preserve">, nem convalida a abertura, nem apaga o registro do vínculo nos sistemas oficiais. O recorrente não pede a reativação ou o cancelamento de produto: pede a </w:t>
      </w:r>
      <w:r>
        <w:rPr>
          <w:b/>
        </w:rPr>
        <w:t>declaração judicial de que não consentiu com a relação</w:t>
      </w:r>
      <w:r>
        <w:rPr>
          <w:b w:val="0"/>
        </w:rPr>
        <w:t xml:space="preserve"> e a </w:t>
      </w:r>
      <w:r>
        <w:rPr>
          <w:b/>
        </w:rPr>
        <w:t>exclusão de seus dados</w:t>
      </w:r>
      <w:r>
        <w:rPr>
          <w:b w:val="0"/>
        </w:rPr>
        <w:t xml:space="preserve"> dos sistemas da ré e de parceiras.</w:t>
      </w:r>
    </w:p>
    <w:p>
      <w:pPr>
        <w:spacing w:line="360" w:lineRule="auto" w:after="120"/>
        <w:ind w:firstLine="709"/>
        <w:jc w:val="both"/>
      </w:pPr>
      <w:r>
        <w:rPr>
          <w:b w:val="0"/>
        </w:rPr>
        <w:t>A sentença afirma que a LGPD admite conservação de dados "nas hipóteses legalmente previstas" (art. 16, LGPD [VERIFICAR ANTES DE PROTOCOLAR]), mas não indica qual hipótese se aplicaria, nem a ré a demonstra. A conservação para cumprimento de obrigação legal (registro regulatório no CCS) pressupõe relação legitimamente constituída: não pode servir de fundamento para manter dados de quem nunca contratou. A ré, ademais, não comprovou em momento algum ter excluído os dados do autor. Reconhecida a inexistência da relação, a obrigação de fazer é consequência necessária, e o prazo e a forma de cumprimento podem ser definidos pela Turma, observado o que for tecnicamente possível à ré, que afirmou ter encerrado suas atividades.</w:t>
      </w:r>
    </w:p>
    <w:p>
      <w:pPr>
        <w:keepNext/>
        <w:spacing w:line="360" w:lineRule="auto" w:after="120" w:before="200"/>
        <w:jc w:val="left"/>
      </w:pPr>
      <w:r>
        <w:rPr>
          <w:b/>
          <w:color w:val="1F3864"/>
          <w:sz w:val="24"/>
        </w:rPr>
        <w:t>IV.6 — DA IRRELEVÂNCIA DA AUSÊNCIA DE NEGATIVAÇÃO E DE PRÉVIA RECLAMAÇÃO</w:t>
      </w:r>
    </w:p>
    <w:p>
      <w:pPr>
        <w:spacing w:line="360" w:lineRule="auto" w:after="120"/>
        <w:ind w:firstLine="709"/>
        <w:jc w:val="both"/>
      </w:pPr>
      <w:r>
        <w:rPr>
          <w:b w:val="0"/>
        </w:rPr>
        <w:t>Nenhum desses fatores é requisito do dano na abertura indevida de relação. A prévia via administrativa não é condição da ação (art. 5º, XXXV, CF), e a própria sentença rejeitou a preliminar da ré ao julgar o mérito. Em todo caso, o autor comprovou requerimento administrativo antes do ajuizamento e depois dele, sem resposta.</w:t>
      </w:r>
    </w:p>
    <w:p>
      <w:pPr>
        <w:keepNext/>
        <w:spacing w:line="360" w:lineRule="auto" w:after="120" w:before="200"/>
        <w:jc w:val="left"/>
        <w:pBdr>
          <w:bottom w:val="single" w:sz="6" w:space="1" w:color="1F3864"/>
        </w:pBdr>
      </w:pPr>
      <w:r>
        <w:rPr>
          <w:b/>
          <w:color w:val="1F3864"/>
          <w:sz w:val="24"/>
        </w:rPr>
        <w:t>V — DO PREQUESTIONAMENTO</w:t>
      </w:r>
    </w:p>
    <w:p>
      <w:pPr>
        <w:spacing w:line="360" w:lineRule="auto" w:after="120"/>
        <w:ind w:firstLine="709"/>
        <w:jc w:val="both"/>
      </w:pPr>
      <w:r>
        <w:rPr>
          <w:b w:val="0"/>
        </w:rPr>
        <w:t>Para fins de eventual Recurso Extraordinário (art. 102, III, CF) e de pedido de uniformização de jurisprudência, ficam prequestionados: os arts. 5º, X, XXXV, LXXIV e LXXIX, da Constituição Federal; os arts. 6º, VIII, e 14 do Código de Defesa do Consumidor; a Súmula 479/STJ; os arts. 6º, 7º, 42 e 46 da Lei nº 13.709/2018; os arts. 104 do Código Civil e 373 do Código de Processo Civil; e a MP 2.200-2/2001, art. 10, § 2º, e a Lei nº 14.063/2020.</w:t>
      </w:r>
    </w:p>
    <w:p>
      <w:pPr>
        <w:keepNext/>
        <w:spacing w:line="360" w:lineRule="auto" w:after="120" w:before="200"/>
        <w:jc w:val="left"/>
        <w:pBdr>
          <w:bottom w:val="single" w:sz="6" w:space="1" w:color="1F3864"/>
        </w:pBdr>
      </w:pPr>
      <w:r>
        <w:rPr>
          <w:b/>
          <w:color w:val="1F3864"/>
          <w:sz w:val="24"/>
        </w:rPr>
        <w:t>VI — DOS PEDIDOS</w:t>
      </w:r>
    </w:p>
    <w:p>
      <w:pPr>
        <w:spacing w:line="360" w:lineRule="auto" w:after="120"/>
        <w:ind w:firstLine="709"/>
        <w:jc w:val="both"/>
      </w:pPr>
      <w:r>
        <w:rPr>
          <w:b w:val="0"/>
        </w:rPr>
        <w:t>Ante o exposto, requer o recorrente:</w:t>
      </w:r>
    </w:p>
    <w:p>
      <w:pPr>
        <w:spacing w:line="360" w:lineRule="auto" w:after="120"/>
        <w:ind w:firstLine="709"/>
        <w:jc w:val="both"/>
      </w:pPr>
      <w:r>
        <w:rPr>
          <w:b w:val="0"/>
        </w:rPr>
        <w:t>a) o deferimento da gratuidade da justiça, com dispensa de preparo e suspensão da exigibilidade de eventual sucumbência recursal;</w:t>
      </w:r>
    </w:p>
    <w:p>
      <w:pPr>
        <w:spacing w:line="360" w:lineRule="auto" w:after="120"/>
        <w:ind w:firstLine="709"/>
        <w:jc w:val="both"/>
      </w:pPr>
      <w:r>
        <w:rPr>
          <w:b w:val="0"/>
        </w:rPr>
        <w:t xml:space="preserve">b) o conhecimento e o </w:t>
      </w:r>
      <w:r>
        <w:rPr>
          <w:b/>
        </w:rPr>
        <w:t>provimento</w:t>
      </w:r>
      <w:r>
        <w:rPr>
          <w:b w:val="0"/>
        </w:rPr>
        <w:t xml:space="preserve"> do recurso, para reformar integralmente a sentença e julgar </w:t>
      </w:r>
      <w:r>
        <w:rPr>
          <w:b/>
        </w:rPr>
        <w:t>procedentes</w:t>
      </w:r>
      <w:r>
        <w:rPr>
          <w:b w:val="0"/>
        </w:rPr>
        <w:t xml:space="preserve"> os pedidos iniciais, a fim de: (i) </w:t>
      </w:r>
      <w:r>
        <w:rPr>
          <w:b/>
        </w:rPr>
        <w:t>declarar a inexistência da relação jurídica</w:t>
      </w:r>
      <w:r>
        <w:rPr>
          <w:b w:val="0"/>
        </w:rPr>
        <w:t xml:space="preserve"> entre o recorrente e a recorrida, constituída em 30/06/2021 e encerrada em 23/11/2024; (ii) condenar a recorrida a </w:t>
      </w:r>
      <w:r>
        <w:rPr>
          <w:b/>
        </w:rPr>
        <w:t>excluir os dados pessoais</w:t>
      </w:r>
      <w:r>
        <w:rPr>
          <w:b w:val="0"/>
        </w:rPr>
        <w:t xml:space="preserve"> do recorrente de seus sistemas e de parceiros, sob multa diária a ser fixada por esta Turma; (iii) condenar a recorrida ao pagamento de </w:t>
      </w:r>
      <w:r>
        <w:rPr>
          <w:b/>
        </w:rPr>
        <w:t>R$ 8.000,00</w:t>
      </w:r>
      <w:r>
        <w:rPr>
          <w:b w:val="0"/>
        </w:rPr>
        <w:t xml:space="preserve"> a título de danos morais, com juros e correção nos termos da Seção IV.4-f; e (iv) condenar a recorrida ao pagamento de </w:t>
      </w:r>
      <w:r>
        <w:rPr>
          <w:b/>
        </w:rPr>
        <w:t>R$ 2.000,00</w:t>
      </w:r>
      <w:r>
        <w:rPr>
          <w:b w:val="0"/>
        </w:rPr>
        <w:t xml:space="preserve"> por desvio produtivo;</w:t>
      </w:r>
    </w:p>
    <w:p>
      <w:pPr>
        <w:spacing w:line="360" w:lineRule="auto" w:after="120"/>
        <w:ind w:firstLine="709"/>
        <w:jc w:val="both"/>
      </w:pPr>
      <w:r>
        <w:rPr>
          <w:b w:val="0"/>
        </w:rPr>
        <w:t>c) a condenação da recorrida nas custas e nos honorários de sucumbência recursal (art. 55, Lei nº 9.099/95);</w:t>
      </w:r>
    </w:p>
    <w:p>
      <w:pPr>
        <w:spacing w:line="360" w:lineRule="auto" w:after="120"/>
        <w:ind w:firstLine="709"/>
        <w:jc w:val="both"/>
      </w:pPr>
      <w:r>
        <w:rPr>
          <w:b w:val="0"/>
        </w:rPr>
        <w:t>d) que as intimações sejam feitas em nome dos advogados signatários.</w:t>
      </w:r>
    </w:p>
    <w:p>
      <w:pPr>
        <w:spacing w:line="360" w:lineRule="auto" w:after="120"/>
        <w:ind w:firstLine="709"/>
        <w:jc w:val="both"/>
      </w:pPr>
      <w:r>
        <w:rPr>
          <w:b w:val="0"/>
        </w:rPr>
        <w:t>Nestes termos, pede deferimento.</w:t>
      </w:r>
    </w:p>
    <w:p>
      <w:pPr>
        <w:spacing w:line="360" w:lineRule="auto" w:after="120"/>
        <w:jc w:val="both"/>
      </w:pPr>
      <w:r>
        <w:rPr>
          <w:b w:val="0"/>
        </w:rPr>
        <w:t>Jequié/BA, data da assinatura eletrônica.</w:t>
      </w:r>
    </w:p>
    <w:p>
      <w:pPr>
        <w:spacing w:line="360" w:lineRule="auto" w:after="120"/>
        <w:jc w:val="center"/>
      </w:pPr>
      <w:r>
        <w:rPr>
          <w:b w:val="0"/>
        </w:rPr>
        <w:t>CLEYTON DA SILVA BARBOSA</w:t>
        <w:br/>
        <w:t>OAB/MS 17.311 — OAB/BA 92.148</w:t>
      </w:r>
    </w:p>
    <w:p>
      <w:pPr>
        <w:spacing w:line="360" w:lineRule="auto" w:after="120"/>
        <w:jc w:val="center"/>
      </w:pPr>
      <w:r>
        <w:rPr>
          <w:b w:val="0"/>
        </w:rPr>
        <w:t>TIAGO ANDRIN — OAB/MS 17.326-B</w:t>
        <w:br/>
        <w:t>WILIAN LOPES BEZERRA — OAB/MS 16.576</w:t>
      </w:r>
    </w:p>
    <w:p>
      <w:pPr>
        <w:keepNext/>
        <w:spacing w:line="360" w:lineRule="auto" w:after="120" w:before="200"/>
        <w:jc w:val="left"/>
      </w:pPr>
      <w:r>
        <w:rPr>
          <w:b/>
          <w:color w:val="1F3864"/>
          <w:sz w:val="24"/>
        </w:rPr>
        <w:t>DOCUMENTOS A ANEXAR</w:t>
      </w:r>
    </w:p>
    <w:p>
      <w:pPr>
        <w:spacing w:line="360" w:lineRule="auto" w:after="120"/>
        <w:jc w:val="both"/>
      </w:pPr>
      <w:r>
        <w:rPr>
          <w:b w:val="0"/>
        </w:rPr>
        <w:t>1. Carteira de Trabalho Digital de Lucas Souza Chaves (CTPS Digital, assinada pela Dataprev em 29/07/2026), exclusivamente para instruir o pedido de gratuidade.</w:t>
      </w:r>
    </w:p>
    <w:sectPr w:rsidR="00FC693F" w:rsidRPr="0006063C" w:rsidSect="00034616">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