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80"/>
        <w:jc w:val="both"/>
      </w:pPr>
      <w:r>
        <w:rPr>
          <w:rFonts w:ascii="Arial" w:hAnsi="Arial"/>
          <w:b w:val="0"/>
        </w:rPr>
        <w:t>AO JUÍZO DA 3ª VARA DO SISTEMA DOS JUIZADOS CÍVEIS DA COMARCA DE ILHÉUS — BAHIA</w:t>
      </w:r>
    </w:p>
    <w:p>
      <w:pPr>
        <w:spacing w:line="360" w:lineRule="auto" w:after="280"/>
        <w:jc w:val="left"/>
      </w:pPr>
      <w:r>
        <w:rPr>
          <w:rFonts w:ascii="Arial" w:hAnsi="Arial"/>
          <w:b/>
        </w:rPr>
        <w:t>Processo nº 0012907-66.2026.8.05.0103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/>
        </w:rPr>
        <w:t>ANDREZA DAMACENO DE OLIVEIRA</w:t>
      </w:r>
      <w:r>
        <w:rPr>
          <w:rFonts w:ascii="Arial" w:hAnsi="Arial"/>
          <w:b w:val="0"/>
        </w:rPr>
        <w:t xml:space="preserve">, já qualificada nos autos da </w:t>
      </w:r>
      <w:r>
        <w:rPr>
          <w:rFonts w:ascii="Arial" w:hAnsi="Arial"/>
          <w:b/>
        </w:rPr>
        <w:t>AÇÃO DECLARATÓRIA DE INEXISTÊNCIA DE RELAÇÃO JURÍDICA c/c OBRIGAÇÃO DE FAZER E INDENIZAÇÃO POR DANOS MORAIS</w:t>
      </w:r>
      <w:r>
        <w:rPr>
          <w:rFonts w:ascii="Arial" w:hAnsi="Arial"/>
          <w:b w:val="0"/>
        </w:rPr>
        <w:t xml:space="preserve"> que move em face de </w:t>
      </w:r>
      <w:r>
        <w:rPr>
          <w:rFonts w:ascii="Arial" w:hAnsi="Arial"/>
          <w:b/>
        </w:rPr>
        <w:t>CELCOIN INSTITUIÇÃO DE PAGAMENTO S.A.</w:t>
      </w:r>
      <w:r>
        <w:rPr>
          <w:rFonts w:ascii="Arial" w:hAnsi="Arial"/>
          <w:b w:val="0"/>
        </w:rPr>
        <w:t xml:space="preserve">, vem, respeitosamente, perante este Juízo, por meio de seu advogado, apresentar </w:t>
      </w:r>
      <w:r>
        <w:rPr>
          <w:rFonts w:ascii="Arial" w:hAnsi="Arial"/>
          <w:b/>
        </w:rPr>
        <w:t>IMPUGNAÇÃO À CONTESTAÇÃO</w:t>
      </w:r>
      <w:r>
        <w:rPr>
          <w:rFonts w:ascii="Arial" w:hAnsi="Arial"/>
          <w:b w:val="0"/>
        </w:rPr>
        <w:t xml:space="preserve"> (Id. 207088678) e aos documentos que a acompanham (Ids. 207088679 a 207088683), nos termos do art. 437 do CPC/2015 c/c art. 6º, VIII, do CDC e art. 373, II, do CPC, pelas razões de fato e de direito a seguir expostas.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SÍNTESE DA CONTROVÉRSIA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Autora descobriu, ao consultar o Registrato (CCS) do Banco Central, uma relação de conta em seu nome e CPF junto à Ré, com início em 08/02/2024 e situação “Ativo” (Id. 202765274, Pág. 18), que jamais solicitou, contratou ou autorizou. A Ré não nega a existência da conta. Sua defesa se resume a dizer que o cadastro teria sido feito “na ponta” pela empresa Jeitto e que os dados seriam “coincidentes”.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O ponto decisivo é simples. </w:t>
      </w:r>
      <w:r>
        <w:rPr>
          <w:rFonts w:ascii="Arial" w:hAnsi="Arial"/>
          <w:b/>
        </w:rPr>
        <w:t>O dossiê juntado pela Ré não contém biometria, geolocalização, IP, dispositivo, contrato assinado ou termo de uso aceito.</w:t>
      </w:r>
      <w:r>
        <w:rPr>
          <w:rFonts w:ascii="Arial" w:hAnsi="Arial"/>
          <w:b w:val="0"/>
        </w:rPr>
        <w:t xml:space="preserve"> Contém apenas telas de sistema preenchidas pela própria Ré e a imagem de um documento de identidade que qualquer pessoa que o tenha em mãos poderia enviar. Sem esses elementos, não há prova de manifestação de vontade da Autora. Sem manifestação de vontade, não há contrato (art. 104, CC/02): a relação é inexistente, deve ser cancelada, e a Ré deve reparar o dano moral.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I — DAS PRELIMINARES DA CONTESTAÇÃO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Preliminar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Fundamento de rejeição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Consequência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9"/>
              </w:rPr>
              <w:t>1.1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sz w:val="19"/>
              </w:rPr>
              <w:t>Impugnação à gratuidade da justiça (Pág. 67)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sz w:val="19"/>
              </w:rPr>
              <w:t>Presunção do art. 99, § 3º, CPC; a Ré não juntou um único extrato ou documento; alegação de “nove mil reais mensais” sem qualquer prova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9"/>
              </w:rPr>
              <w:t>Manutenção da gratuidade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9"/>
              </w:rPr>
              <w:t>1.2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sz w:val="19"/>
              </w:rPr>
              <w:t>Ilegitimidade passiva (Págs. 67–68)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sz w:val="19"/>
              </w:rPr>
              <w:t>A Ré consta no CCS da Autora; integra a cadeia de fornecimento; teoria da asserção; a procuração invocada é mandato judicial, não prova de gestão da conta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9"/>
              </w:rPr>
              <w:t>Rejeição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b w:val="0"/>
                <w:sz w:val="19"/>
              </w:rPr>
              <w:t>1.3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sz w:val="19"/>
              </w:rPr>
              <w:t>Impugnação genérica dos documentos da Autora (Págs. 68–69)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sz w:val="19"/>
              </w:rPr>
              <w:t>Impugnação inespecífica; o CCS é emitido pelo próprio Banco Central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9"/>
              </w:rPr>
              <w:t>Rejeição</w:t>
            </w:r>
          </w:p>
        </w:tc>
      </w:tr>
    </w:tbl>
    <w:p>
      <w:pPr>
        <w:spacing w:after="80"/>
      </w:pP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1.1 DA GRATUIDADE DA JUSTIÇA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afirma ter “provas matemáticas irrefutáveis” de um “altíssimo trânsito de capital, que ultrapassa a marca de nove mil reais mensais” (Pág. 67). </w:t>
      </w:r>
      <w:r>
        <w:rPr>
          <w:rFonts w:ascii="Arial" w:hAnsi="Arial"/>
          <w:b/>
        </w:rPr>
        <w:t>Nenhuma prova foi juntada.</w:t>
      </w:r>
      <w:r>
        <w:rPr>
          <w:rFonts w:ascii="Arial" w:hAnsi="Arial"/>
          <w:b w:val="0"/>
        </w:rPr>
        <w:t xml:space="preserve"> Não há extrato, comprovante ou planilha. A Ré apenas afirma e, ao final, tenta transferir à Autora o ônus de juntar extratos de todas as contas, o que inverte a regra do art. 99, § 3º, do CPC: a declaração de hipossuficiência de pessoa natural presume-se verdadeira, e cabe a quem a impugna desconstituí-la.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própria contestação revela a fragilidade do argumento ao tratar o número de relações financeiras de forma contraditória: ora são “15” (Págs. 67 e 79), ora “09” (Pág. 73), ora “24” (Pág. 79). O relatório CCS tem 23 registros, muitos de contas digitais gratuitas, e o número de relações cadastradas não mede capacidade de pagamento. Por outro lado, a Autora é beneficiária do INSS e sua conta de energia é classificada como residencial “baixa renda com NIS” (Id. 204362543, Pág. 23). A garantia do art. 5º, LXXIV, da CF permanece íntegra. </w:t>
      </w:r>
      <w:r>
        <w:rPr>
          <w:rFonts w:ascii="Arial" w:hAnsi="Arial"/>
          <w:b/>
        </w:rPr>
        <w:t>Consequência processual:</w:t>
      </w:r>
      <w:r>
        <w:rPr>
          <w:rFonts w:ascii="Arial" w:hAnsi="Arial"/>
          <w:b w:val="0"/>
        </w:rPr>
        <w:t xml:space="preserve"> manutenção da gratuidade.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1.2 DA ILEGITIMIDADE PASSIVA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Ré sustenta ser mera “infraestrutura” (BaaS), “tubo” ou “trilho”. A tese não se sustenta pelos próprios documentos dos autos: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(a) </w:t>
      </w:r>
      <w:r>
        <w:rPr>
          <w:rFonts w:ascii="Arial" w:hAnsi="Arial"/>
          <w:b/>
        </w:rPr>
        <w:t>A Ré é a instituição que consta no CCS.</w:t>
      </w:r>
      <w:r>
        <w:rPr>
          <w:rFonts w:ascii="Arial" w:hAnsi="Arial"/>
          <w:b w:val="0"/>
        </w:rPr>
        <w:t xml:space="preserve"> O relatório do Banco Central lista “CELCOIN IP S.A.”, CNPJ 13.935.893/0001-09, como instituição com relação de conta com a Autora desde 08/02/2024 (Id. 202765274, Pág. 18). A contestação admite que a Celcoin “figura nos registros do Banco Central (CCS)” (Pág. 66). Quem figura como instituição da conta perante o regulador responde por ela.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(b) </w:t>
      </w:r>
      <w:r>
        <w:rPr>
          <w:rFonts w:ascii="Arial" w:hAnsi="Arial"/>
          <w:b/>
        </w:rPr>
        <w:t>A Ré se descreve como a instituição regulada que “fornece a licença” e a estrutura de pagamento (Pág. 68).</w:t>
      </w:r>
      <w:r>
        <w:rPr>
          <w:rFonts w:ascii="Arial" w:hAnsi="Arial"/>
          <w:b w:val="0"/>
        </w:rPr>
        <w:t xml:space="preserve"> Ao fornecer essa estrutura e lucrar com ela, integra a cadeia de fornecimento do serviço. A Autora sustenta a responsabilidade solidária dos integrantes da cadeia (arts. 7º, parágrafo único, e 25, § 1º, do CDC) [VERIFICAR ANTES DE PROTOCOLAR]. Em qualquer caso, a Ré é objetivamente responsável pelo fortuito interno (Súmula 479/STJ; art. 14, CDC). A divisão interna de tarefas entre ela e a Jeitto é matéria de regresso entre elas, inoponível à consumidora.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(c) </w:t>
      </w:r>
      <w:r>
        <w:rPr>
          <w:rFonts w:ascii="Arial" w:hAnsi="Arial"/>
          <w:b/>
        </w:rPr>
        <w:t>A procuração não prova o que a Ré diz.</w:t>
      </w:r>
      <w:r>
        <w:rPr>
          <w:rFonts w:ascii="Arial" w:hAnsi="Arial"/>
          <w:b w:val="0"/>
        </w:rPr>
        <w:t xml:space="preserve"> O instrumento invocado (Id. 206904859, Pág. 50) é um mandato </w:t>
      </w:r>
      <w:r>
        <w:rPr>
          <w:rFonts w:ascii="Arial" w:hAnsi="Arial"/>
          <w:b/>
        </w:rPr>
        <w:t>ad judicia et extra</w:t>
      </w:r>
      <w:r>
        <w:rPr>
          <w:rFonts w:ascii="Arial" w:hAnsi="Arial"/>
          <w:b w:val="0"/>
        </w:rPr>
        <w:t>, firmado em 20/01/2026, pelo qual a Celcoin autoriza a Jeitto a representá-la “em juízo ou fora dele”. Ele trata de representação processual e não demonstra quem abriu, geriu ou autenticou a conta da Autora em 2024. Ao contrário, mostra que a Jeitto atua em nome da Ré.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(d) </w:t>
      </w:r>
      <w:r>
        <w:rPr>
          <w:rFonts w:ascii="Arial" w:hAnsi="Arial"/>
          <w:b/>
        </w:rPr>
        <w:t>A Ré é quem apresenta a defesa de mérito e os documentos da conta</w:t>
      </w:r>
      <w:r>
        <w:rPr>
          <w:rFonts w:ascii="Arial" w:hAnsi="Arial"/>
          <w:b w:val="0"/>
        </w:rPr>
        <w:t xml:space="preserve">, como “instituição liquidante” e “provedora” (Pág. 66). Ao fazê-lo, admite que tem acesso aos dados e deles se serve para se defender. Não pode, ao mesmo tempo, negar a pertinência subjetiva. Pela teoria da asserção, a legitimidade se afere pelo que se afirma na inicial: a Autora imputa à Ré a manutenção de relação de conta sem consentimento, e a Ré consta do CCS. </w:t>
      </w:r>
      <w:r>
        <w:rPr>
          <w:rFonts w:ascii="Arial" w:hAnsi="Arial"/>
          <w:b/>
        </w:rPr>
        <w:t>Consequência processual:</w:t>
      </w:r>
      <w:r>
        <w:rPr>
          <w:rFonts w:ascii="Arial" w:hAnsi="Arial"/>
          <w:b w:val="0"/>
        </w:rPr>
        <w:t xml:space="preserve"> rejeição.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1.3 DA IMPUGNAÇÃO GENÉRICA AOS DOCUMENTOS DA AUTORA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“impugna todos os documentos” da Autora “que não sejam expressamente reconhecidos” (Págs. 68–69). A impugnação genérica não cumpre o ônus de indicar o vício específico de cada documento. O relatório CCS, em particular, é emitido pelo Banco Central e traz código de autenticidade; a própria Ré o aceita como prova da existência da conta, ao invocá-lo como fundamento de suas teses (Págs. 66 e 78). A ressalva final sobre “incidente de falsidade” e sobre “cobranças” e “débitos decorrentes do inadimplemento contratual” (Pág. 69) é peça de modelo, sem relação com este processo. </w:t>
      </w:r>
      <w:r>
        <w:rPr>
          <w:rFonts w:ascii="Arial" w:hAnsi="Arial"/>
          <w:b/>
        </w:rPr>
        <w:t>Consequência processual:</w:t>
      </w:r>
      <w:r>
        <w:rPr>
          <w:rFonts w:ascii="Arial" w:hAnsi="Arial"/>
          <w:b w:val="0"/>
        </w:rPr>
        <w:t xml:space="preserve"> rejeição.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II — DO VÍCIO ESTRUTURAL DA CONTESTAÇÃO: AUSÊNCIA DE PROVA DA CONTRATAÇÃO ESPECÍFICA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defesa confunde duas coisas: demonstrar </w:t>
      </w:r>
      <w:r>
        <w:rPr>
          <w:rFonts w:ascii="Arial" w:hAnsi="Arial"/>
          <w:b/>
        </w:rPr>
        <w:t>como funciona o processo geral de abertura de contas</w:t>
      </w:r>
      <w:r>
        <w:rPr>
          <w:rFonts w:ascii="Arial" w:hAnsi="Arial"/>
          <w:b w:val="0"/>
        </w:rPr>
        <w:t xml:space="preserve"> e provar </w:t>
      </w:r>
      <w:r>
        <w:rPr>
          <w:rFonts w:ascii="Arial" w:hAnsi="Arial"/>
          <w:b/>
        </w:rPr>
        <w:t>que a Autora, pessoalmente, contratou esta conta</w:t>
      </w:r>
      <w:r>
        <w:rPr>
          <w:rFonts w:ascii="Arial" w:hAnsi="Arial"/>
          <w:b w:val="0"/>
        </w:rPr>
        <w:t>. Só a segunda interessa. Cabia à Ré, como fato impeditivo do direito da Autora, prová-la (art. 373, II, CPC), e, estando em jogo relação de consumo, a inversão é de pleno direito (art. 6º, VIII, CDC).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O que a Ré alega</w:t>
            </w:r>
          </w:p>
        </w:tc>
        <w:tc>
          <w:tcPr>
            <w:tcW w:type="dxa" w:w="3005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O que a Ré juntou</w:t>
            </w:r>
          </w:p>
        </w:tc>
        <w:tc>
          <w:tcPr>
            <w:tcW w:type="dxa" w:w="2665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O que a Ré não juntou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Cadastro “totalmente regular, voluntário e plenamente consciente” (Pág. 70)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>Telas de sistema com nome, CPF, “ID Jeitto” e data (Págs. 84–86); imagem de documento (Pág. 88)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Contrato assinado; termo de uso; prova da aceitação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Acesso “validado por biometria e senhas pessoais” (Pág. 72)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>Nada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Biometria, selfie, liveness, relatório técnico (Datavalid ou equivalente)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O sistema “capturou o dispositivo” (Pág. 72)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Quadro com todos os campos de dispositivo, IP e geolocalização </w:t>
            </w:r>
            <w:r>
              <w:rPr>
                <w:rFonts w:ascii="Arial" w:hAnsi="Arial"/>
                <w:b/>
                <w:sz w:val="19"/>
              </w:rPr>
              <w:t>em branco</w:t>
            </w:r>
            <w:r>
              <w:rPr>
                <w:rFonts w:ascii="Arial" w:hAnsi="Arial"/>
                <w:b w:val="0"/>
                <w:sz w:val="19"/>
              </w:rPr>
              <w:t xml:space="preserve"> (Pág. 87)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Log de IP, modelo do aparelho, coordenadas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Documento apresentado no cadastro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Campo “Documento Apresentado – Cadastro: </w:t>
            </w:r>
            <w:r>
              <w:rPr>
                <w:rFonts w:ascii="Arial" w:hAnsi="Arial"/>
                <w:b/>
                <w:sz w:val="19"/>
              </w:rPr>
              <w:t>Sem captura</w:t>
            </w:r>
            <w:r>
              <w:rPr>
                <w:rFonts w:ascii="Arial" w:hAnsi="Arial"/>
                <w:b w:val="0"/>
                <w:sz w:val="19"/>
              </w:rPr>
              <w:t>” (Pág. 88)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Captura do documento feita no cadastro, com data, hora e origem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A Autora “transferiu o dinheiro para sua própria conta” (Pág. 71)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>Ficha com “Valor Utilizado R$ 0” (Pág. 84)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Qualquer extrato, log ou comprovante de transferência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9"/>
              </w:rPr>
              <w:t>Termos aceitos em “2024-02-08 21:34:03” (Pág. 71)</w:t>
            </w:r>
          </w:p>
        </w:tc>
        <w:tc>
          <w:tcPr>
            <w:tcW w:type="dxa" w:w="3005"/>
          </w:tcPr>
          <w:p>
            <w:r/>
            <w:r>
              <w:rPr>
                <w:rFonts w:ascii="Arial" w:hAnsi="Arial"/>
                <w:b w:val="0"/>
                <w:sz w:val="19"/>
              </w:rPr>
              <w:t>Uma linha de texto na contestação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/>
                <w:b w:val="0"/>
                <w:sz w:val="19"/>
              </w:rPr>
              <w:t>O próprio registro do aceite, com metadados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defesa, portanto, não prova a contratação específica. Os fatos da inicial relativos à ausência de consentimento e à resistência administrativa não foram impugnados de forma específica e circunstanciada, e a Ré sequer trouxe o registro de atendimento ou os protocolos que a inicial afirmou terem sido negados (art. 341, CPC). </w:t>
      </w:r>
      <w:r>
        <w:rPr>
          <w:rFonts w:ascii="Arial" w:hAnsi="Arial"/>
          <w:b/>
        </w:rPr>
        <w:t>Consequência:</w:t>
      </w:r>
      <w:r>
        <w:rPr>
          <w:rFonts w:ascii="Arial" w:hAnsi="Arial"/>
          <w:b w:val="0"/>
        </w:rPr>
        <w:t xml:space="preserve"> a ausência dos elementos técnicos específicos, que só a Ré detém, confirma a verossimilhança da alegação de que a conta foi aberta sem a participação da Autora.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III — DA CONTRADIÇÃO INTERNA DA DEFESA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contestação afirma coisas que não podem ser simultaneamente verdadeiras, e várias delas só se explicam por ter sido copiada de modelo de outro caso: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231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Afirmação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Página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Contradição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O cadastro foi originado “em 26/01/2026”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O mesmo texto diz “Cadastro ativado em 26/01/2024” (Pág. 71); a ficha traz 26/01/2024 (Pág. 84); o CCS marca 08/02/2024 (Id. 202765274, Pág. 18)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A conta é “pré-paga e pós-paga”; a Autora “contratou empréstimos”, “utilizou o limite de crédito” (Págs. 70, 71 e 72)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70–72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A mesma defesa diz que a conta “não possui empréstimos atrelados” e “jamais possuiu débitos”, com “saldo zerado e limite intacto” (Págs. 73 e 78); a ficha diz “Valor Utilizado R$ 0” (Pág. 84)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A Autora “transferiu o dinheiro para sua própria conta”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71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Sem utilização de valor, não há dinheiro a transferir; nenhum extrato foi juntado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O e-mail do cadastro é o “que o próprio autor utiliza para se comunicar com seu advogado”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72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 xml:space="preserve">A inicial declara “sem endereço eletrônico”; e o bureau da Ré marca o e-mail como “Vinculado: </w:t>
            </w:r>
            <w:r>
              <w:rPr>
                <w:rFonts w:ascii="Arial" w:hAnsi="Arial"/>
                <w:b/>
                <w:sz w:val="19"/>
              </w:rPr>
              <w:t>Não</w:t>
            </w:r>
            <w:r>
              <w:rPr>
                <w:rFonts w:ascii="Arial" w:hAnsi="Arial"/>
                <w:b w:val="0"/>
                <w:sz w:val="19"/>
              </w:rPr>
              <w:t>” (Pág. 84)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“Juros aplicados em estrito cumprimento às condições contratuais do empréstimo pessoal”; “a JEITTO espera”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73–74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Não há empréstimo, contrato, nem juros neste processo; o trecho é de outro caso e de outra defesa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Pedido da Autora de “R$ 22.000,00”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75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O pedido é de R$ 8.000,00 por dano moral e R$ 2.000,00 por desvio produtivo (Id. 202765270, Págs. 7–8 e 10)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A Autora tem “15”, “09” e “24” relacionamentos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67, 73, 79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O CCS lista 23 registros</w:t>
            </w:r>
          </w:p>
        </w:tc>
      </w:tr>
      <w:tr>
        <w:tc>
          <w:tcPr>
            <w:tcW w:type="dxa" w:w="3231"/>
          </w:tcPr>
          <w:p>
            <w:r/>
            <w:r>
              <w:rPr>
                <w:rFonts w:ascii="Arial" w:hAnsi="Arial"/>
                <w:b w:val="0"/>
                <w:sz w:val="19"/>
              </w:rPr>
              <w:t>Constam “anotações de dívidas negativadas” do autor, “Súmula 385”; “relatórios Serasa anexados”</w:t>
            </w:r>
          </w:p>
        </w:tc>
        <w:tc>
          <w:tcPr>
            <w:tcW w:type="dxa" w:w="964"/>
          </w:tcPr>
          <w:p>
            <w:r/>
            <w:r>
              <w:rPr>
                <w:rFonts w:ascii="Arial" w:hAnsi="Arial"/>
                <w:b w:val="0"/>
                <w:sz w:val="19"/>
              </w:rPr>
              <w:t>78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/>
                <w:b w:val="0"/>
                <w:sz w:val="19"/>
              </w:rPr>
              <w:t>Nenhum relatório Serasa foi juntado (Ids. 207088679 a 207088683)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Uma defesa que erra a data do cadastro, o valor do pedido e o produto contratado, invoca documentos que não juntou e confessa ao mesmo tempo que não houve uso nem empréstimo, não merece a presunção de legitimidade que reivindica. </w:t>
      </w:r>
      <w:r>
        <w:rPr>
          <w:rFonts w:ascii="Arial" w:hAnsi="Arial"/>
          <w:b/>
        </w:rPr>
        <w:t>Consequência:</w:t>
      </w:r>
      <w:r>
        <w:rPr>
          <w:rFonts w:ascii="Arial" w:hAnsi="Arial"/>
          <w:b w:val="0"/>
        </w:rPr>
        <w:t xml:space="preserve"> as afirmações incompatíveis se anulam e as provas que a Ré diz ter são inexistentes nos autos. Tal conduta, à luz do art. 80, II e III, do CPC, é indício de má-fé da Ré, e não da Autora.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IV — DA CADEIA DOCUMENTAL VICIADA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sustenta que os dados do cadastro “coincidem, com absoluta, irrefutável e inegável exatidão”, com os da Autora (Pág. 70). Mesmo que isso fosse verdade quanto a todos os campos, </w:t>
      </w:r>
      <w:r>
        <w:rPr>
          <w:rFonts w:ascii="Arial" w:hAnsi="Arial"/>
          <w:b/>
        </w:rPr>
        <w:t>a coincidência de dados de qualificação não prova autoria</w:t>
      </w:r>
      <w:r>
        <w:rPr>
          <w:rFonts w:ascii="Arial" w:hAnsi="Arial"/>
          <w:b w:val="0"/>
        </w:rPr>
        <w:t>. Nome, CPF e data de nascimento circulam em bases vazadas e em documentos de uso cotidiano, e é justamente por isso que a abertura de contas exige verificação e validação da identidade (Res. CMN 4.753/2019, arts. 2º e 4º; Res. BCB 96/2021). Se bastasse conhecer os dados, a Autora não estaria diante de uma fraude, e sim de qualquer cadastro.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Mais grave: o único dado de contato que a Ré poderia usar como cadeia de autenticação por e-mail </w:t>
      </w:r>
      <w:r>
        <w:rPr>
          <w:rFonts w:ascii="Arial" w:hAnsi="Arial"/>
          <w:b/>
        </w:rPr>
        <w:t>não é vinculado à Autora, segundo o próprio bureau da Ré</w:t>
      </w:r>
      <w:r>
        <w:rPr>
          <w:rFonts w:ascii="Arial" w:hAnsi="Arial"/>
          <w:b w:val="0"/>
        </w:rPr>
        <w:t>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mai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sz w:val="19"/>
        </w:rPr>
        <w:t>Quadro 1 — Id. 207088679, Pág. 84: e-mail informado no cadastro × e-mail do bureau da Ré — “Vinculado: Não”.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O e-mail informado no cadastro (andrezadamasceno548@gmail.com) difere do e-mail que consta no bureau do CPF da Autora (andrezadamasceno10@hotmail.com), e a própria ficha da Ré registra “Não” na coluna “Vinculado”. A afirmação da contestação de que seria o “e-mail pessoal que o próprio autor utiliza” (Pág. 72) é desmentida por seu documento e pelos autos. Além disso, a LGPD impõe ao controlador qualidade dos dados (art. 6º, V) e segurança (art. 6º, VII); um cadastro cujo canal de contato não se vincula ao titular não satisfaz nenhum dos dois.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V — DA AUTENTICAÇÃO ELETRÔNICA INIDÔNEA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V.A — INIDONEIDADE DAS TELAS SISTÊMICAS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dedica um tópico a defender a “veracidade das telas sistêmicas” (Págs. 80–81), invocando o art. 425, V, do CPC e o REsp 2.179.441/DF, que trata de </w:t>
      </w:r>
      <w:r>
        <w:rPr>
          <w:rFonts w:ascii="Arial" w:hAnsi="Arial"/>
          <w:b/>
        </w:rPr>
        <w:t>execução fiscal e de atos da Administração Pública</w:t>
      </w:r>
      <w:r>
        <w:rPr>
          <w:rFonts w:ascii="Arial" w:hAnsi="Arial"/>
          <w:b w:val="0"/>
        </w:rPr>
        <w:t xml:space="preserve">, em cuja presunção de legitimidade, de natureza própria, se apoia o julgado. Uma instituição financeira privada que figura como parte não goza dessa presunção. O art. 425, V, do CPC confere força a reproduções digitais </w:t>
      </w:r>
      <w:r>
        <w:rPr>
          <w:rFonts w:ascii="Arial" w:hAnsi="Arial"/>
          <w:b/>
        </w:rPr>
        <w:t>atestadas pelo emitente como documentos do caso concreto</w:t>
      </w:r>
      <w:r>
        <w:rPr>
          <w:rFonts w:ascii="Arial" w:hAnsi="Arial"/>
          <w:b w:val="0"/>
        </w:rPr>
        <w:t>, e não a telas ilustrativas ou a campos de sistema preenchidos pela própria parte e sem trilha de auditoria.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E, no caso, as telas </w:t>
      </w:r>
      <w:r>
        <w:rPr>
          <w:rFonts w:ascii="Arial" w:hAnsi="Arial"/>
          <w:b/>
        </w:rPr>
        <w:t>provam contra a Ré</w:t>
      </w:r>
      <w:r>
        <w:rPr>
          <w:rFonts w:ascii="Arial" w:hAnsi="Arial"/>
          <w:b w:val="0"/>
        </w:rPr>
        <w:t xml:space="preserve">: elas mostram, com a validade que ela própria reivindica, que o campo de captura do documento no cadastro está “Sem captura”, que a evidência de geolocalização e dispositivo está “Sem captura”, e que IP, aparelho e coordenadas estão vazios. Aceitar as telas como verdadeiras é aceitar que a Ré </w:t>
      </w:r>
      <w:r>
        <w:rPr>
          <w:rFonts w:ascii="Arial" w:hAnsi="Arial"/>
          <w:b/>
        </w:rPr>
        <w:t>não tem</w:t>
      </w:r>
      <w:r>
        <w:rPr>
          <w:rFonts w:ascii="Arial" w:hAnsi="Arial"/>
          <w:b w:val="0"/>
        </w:rPr>
        <w:t xml:space="preserve"> os elementos de autenticação da abertura.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ge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sz w:val="19"/>
        </w:rPr>
        <w:t>Quadro 2 — Id. 207088682, Pág. 87: “Dados de Geolocalização e Dispositivo” — local da captura, coordenadas, distância, modelo do aparelho e Device IP em branco; evidência “Sem captura”.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V.B — AUSÊNCIA DE BIOMETRIA E DE CAPTURA DE DOCUMENTO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contestação afirma que “não há falha de segurança quando o acesso é validado por biometria e senhas pessoais” (Pág. 72). </w:t>
      </w:r>
      <w:r>
        <w:rPr>
          <w:rFonts w:ascii="Arial" w:hAnsi="Arial"/>
          <w:b/>
        </w:rPr>
        <w:t>A Ré não juntou nenhuma biometria.</w:t>
      </w:r>
      <w:r>
        <w:rPr>
          <w:rFonts w:ascii="Arial" w:hAnsi="Arial"/>
          <w:b w:val="0"/>
        </w:rPr>
        <w:t xml:space="preserve"> Para que uma biometria facial tenha valor probatório, seria necessário apresentar, no mínimo: o motor biométrico utilizado, o *score* de correspondência e os parâmetros de aceitação, a prova de vivacidade (*liveness*), a data, a hora e o dispositivo da captura, a vinculação ao cadastro específico e o fornecedor certificado. Nada disso consta. Não há sequer uma fotografia (selfie) do cadastro. Uma afirmação genérica de “validação biométrica”, sem relatório técnico, é declaração unilateral da Ré, que não a desincumbe do ônus do art. 373, II, do CPC.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Quanto ao documento de identidade, o quadro da Ré é revelador: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1120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2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sz w:val="19"/>
        </w:rPr>
        <w:t>Quadro 3 — Id. 207088683, Pág. 88: “Documento Apresentado – Cadastro: Sem captura” × “Documento Apresentado – Processo”.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No campo que deveria demonstrar o documento enviado </w:t>
      </w:r>
      <w:r>
        <w:rPr>
          <w:rFonts w:ascii="Arial" w:hAnsi="Arial"/>
          <w:b/>
        </w:rPr>
        <w:t>no cadastro</w:t>
      </w:r>
      <w:r>
        <w:rPr>
          <w:rFonts w:ascii="Arial" w:hAnsi="Arial"/>
          <w:b w:val="0"/>
        </w:rPr>
        <w:t>, está escrito “</w:t>
      </w:r>
      <w:r>
        <w:rPr>
          <w:rFonts w:ascii="Arial" w:hAnsi="Arial"/>
          <w:b/>
        </w:rPr>
        <w:t>Sem captura</w:t>
      </w:r>
      <w:r>
        <w:rPr>
          <w:rFonts w:ascii="Arial" w:hAnsi="Arial"/>
          <w:b w:val="0"/>
        </w:rPr>
        <w:t>”. A única imagem aparece em outro campo, rotulado “Processo”, e a Ré não explica de onde veio, quando foi enviada, por quem, nem se foi apresentada no ato do cadastro. Uma imagem de RG, sem data, sem origem e sem metadados, não identifica quem a enviou. Documento de identidade é objeto que circula e que pode ser obtido de outras fontes. Ele prova, no máximo, que o documento existe, e não que a pessoa que o ostenta foi quem pediu a conta.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V.C — AUSÊNCIA DE LOG TÉCNICO DA ABERTURA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IP, dispositivo, horário e geolocalização da sessão de abertura estão em poder da Ré e eram indispensáveis. A tela juntada tem somente o carimbo “Criado em 2024-01-26 18:13:40” e nenhum outro dado técnico (Pág. 87). A Ré afirma que “o sistema capturou o dispositivo” (Pág. 72), mas o campo “Modelo Aparelho” e o “Device IP” estão vazios, e o próprio “Device ID” da ficha de cadastro está em branco (Id. 207088680, Pág. 85). A omissão milita contra a Ré (CDC, art. 6º, VIII).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V.D — TOKEN E CANAL DE AUTENTICAÇÃO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Canal cadastrado não é canal do titular. Quanto ao e-mail, a Ré não demonstrou que pertença à Autora e o seu próprio bureau diz que não é vinculado (Quadro 1). Em consequência, qualquer token ou confirmação enviados a esse canal não valida a vontade da Autora, e a cadeia de autenticação fica rompida na origem.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VI — DO SUPOSTO “USO” DA CONTA E DO “PROVEITO ECONÔMICO”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Ré afirma que a Autora “utilizou o crédito disponibilizado para beneficiar a si mesma, transferindo o dinheiro para sua própria conta em outra instituição” e que “é logicamente impossível que um fraudador abra uma conta e transfira o dinheiro para a conta pessoal da própria ‘vítima’” (Págs. 71–72). A alegação não se sustenta: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(a) </w:t>
      </w:r>
      <w:r>
        <w:rPr>
          <w:rFonts w:ascii="Arial" w:hAnsi="Arial"/>
          <w:b/>
        </w:rPr>
        <w:t>Não há qualquer prova.</w:t>
      </w:r>
      <w:r>
        <w:rPr>
          <w:rFonts w:ascii="Arial" w:hAnsi="Arial"/>
          <w:b w:val="0"/>
        </w:rPr>
        <w:t xml:space="preserve"> Nenhum extrato, log de transação ou comprovante de transferência foi juntado. A Ré refere-se a uma “análise técnica dos logs” (Pág. 71), mas esses logs não estão nos autos. Alegação sem prova não vale (art. 373, II, CPC).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(b) </w:t>
      </w:r>
      <w:r>
        <w:rPr>
          <w:rFonts w:ascii="Arial" w:hAnsi="Arial"/>
          <w:b/>
        </w:rPr>
        <w:t>A própria ficha da Ré contradiz a alegação:</w:t>
      </w:r>
      <w:r>
        <w:rPr>
          <w:rFonts w:ascii="Arial" w:hAnsi="Arial"/>
          <w:b w:val="0"/>
        </w:rPr>
        <w:t xml:space="preserve"> “Valor Utilizado R$: 0” (Id. 207088679, Pág. 84), e a defesa diz, noutro passo, que a conta tem “saldo zerado”, “limite intacto” e “não possui empréstimos atrelados” (Págs. 73 e 78). Não pode haver transferência de dinheiro que nunca foi utilizado.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1152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ich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15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sz w:val="19"/>
        </w:rPr>
        <w:t>Quadro 4 — Id. 207088679, Pág. 84: “Dados do Cadastro” — “Valor Utilizado R$: 0”.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(c) </w:t>
      </w:r>
      <w:r>
        <w:rPr>
          <w:rFonts w:ascii="Arial" w:hAnsi="Arial"/>
          <w:b/>
        </w:rPr>
        <w:t>Ainda que houvesse movimentação, ela não equivaleria a consentimento na abertura.</w:t>
      </w:r>
      <w:r>
        <w:rPr>
          <w:rFonts w:ascii="Arial" w:hAnsi="Arial"/>
          <w:b w:val="0"/>
        </w:rPr>
        <w:t xml:space="preserve"> São momentos distintos: a abertura exige manifestação de vontade válida (art. 104, CC/02); a movimentação posterior, se existisse, não retroage para validar ato originariamente viciado, e a nulidade absoluta não se convalida (art. 169, CC/02). O raciocínio de que “quem é vítima de fraude não contrata empréstimos, não paga parcelas” (Pág. 72) descreve fatos que a Ré não provou e que a sua própria ficha nega.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VII — DO DANO MORAL IN RE IPSA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VII.A — CONFIGURAÇÃO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abertura de conta em nome de pessoa que não a pediu viola a autonomia da vontade (art. 104, CC/02), os direitos da personalidade (art. 5º, X, CF), constitui defeito do serviço (art. 14, CDC) e tratamento de dados pessoais sem base legal (LGPD, arts. 7º, I, e 42). A Súmula 479/STJ afirma a responsabilidade objetiva da instituição financeira pelo fortuito interno relativo a fraudes de terceiros no âmbito de operações bancárias. Quanto à caracterização *in re ipsa*, trata-se de dano presumido pela própria natureza da violação: usurpação da identidade da Autora e inclusão de seus dados em uma relação financeira ativa, que persiste hoje no CCS, dependente de decisão judicial para ser extinta. [Precedente específico de Turma Recursal sobre dano *in re ipsa* na abertura fraudulenta de conta: VERIFICAR ANTES DE PROTOCOLAR.]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VII.B — INAPLICABILIDADE DA TESE DO “MERO DISSABOR”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alega que não houve negativação, cobrança ou bloqueio e que, por isso, o dano não é presumido (Págs. 72 e 78–79). O argumento é impertinente: a ilicitude está na </w:t>
      </w:r>
      <w:r>
        <w:rPr>
          <w:rFonts w:ascii="Arial" w:hAnsi="Arial"/>
          <w:b/>
        </w:rPr>
        <w:t>própria abertura e manutenção da relação sem consentimento</w:t>
      </w:r>
      <w:r>
        <w:rPr>
          <w:rFonts w:ascii="Arial" w:hAnsi="Arial"/>
          <w:b w:val="0"/>
        </w:rPr>
        <w:t>, e não na posterior negativação. A ausência de negativação reduz o risco, mas não elimina a violação. A Autora, ademais, permanece com uma conta ativa em seu CPF, sujeita a uso, a eventual cobrança e a inscrições futuras, enquanto o ônus de provar que a conta está inerte e regular pertence a quem a mantém.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alegação de que a Autora seria “usuária experiente” e “multibancarizada” não ajuda a Ré. A eventual existência de outras relações regulares não autoriza a Ré a manter uma relação que a Autora não contratou. Também não é verdade que ela tenha ficado inerte: a inicial narra a tentativa de solução administrativa pelo 0800 da Ré (Id. 202765270, Págs. 2–3), e a Ré não trouxe aos autos nenhum registro de atendimento ou protocolo que demonstre o contrário. A Súmula 30 da Turma Recursal do TJBA, invocada na inicial, reconhece o desvio produtivo do consumidor que despende tempo para resolver problema a que não deu causa. Por fim, o chamado “dever de mitigar” não impõe à vítima de fraude lavrar boletim de ocorrência como condição para ser indenizada.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Súmula 385/STJ, mencionada pela Ré (Pág. 78), nem sequer foi instruída: nenhum relatório de restrição creditícia foi juntado. Além disso, a súmula trata de inscrição indevida em cadastro de inadimplentes e não da abertura de conta sem consentimento [VERIFICAR ANTES DE PROTOCOLAR].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VII.C — VALOR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indenização pleiteada, de </w:t>
      </w:r>
      <w:r>
        <w:rPr>
          <w:rFonts w:ascii="Arial" w:hAnsi="Arial"/>
          <w:b/>
        </w:rPr>
        <w:t>R$ 8.000,00</w:t>
      </w:r>
      <w:r>
        <w:rPr>
          <w:rFonts w:ascii="Arial" w:hAnsi="Arial"/>
          <w:b w:val="0"/>
        </w:rPr>
        <w:t xml:space="preserve"> a título de dano moral e </w:t>
      </w:r>
      <w:r>
        <w:rPr>
          <w:rFonts w:ascii="Arial" w:hAnsi="Arial"/>
          <w:b/>
        </w:rPr>
        <w:t>R$ 2.000,00</w:t>
      </w:r>
      <w:r>
        <w:rPr>
          <w:rFonts w:ascii="Arial" w:hAnsi="Arial"/>
          <w:b w:val="0"/>
        </w:rPr>
        <w:t xml:space="preserve"> a título de desvio produtivo, valores fixados na inicial, atende à razoabilidade e à proporcionalidade, considerados a extensão do ilícito, a persistência da conta, o porte econômico da Ré e o caráter pedagógico-punitivo da reparação. A referência da Ré a “R$ 22.000,00” (Pág. 75) revela que combate um pedido que não foi feito neste processo.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VII.D — TERMO INICIAL DOS JUROS DE MORA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 Ré pede que os juros fluam do arbitramento (Págs. 80 e 83). Trata-se de responsabilidade extracontratual, já que não há contrato válido entre as partes, e portanto os juros de mora correm desde o evento danoso (Súmula 54/STJ), isto é, desde a abertura da conta, enquanto a correção monetária incide desde o arbitramento (Súmula 362/STJ). A pretensão da Ré pressupõe uma relação contratual que ela própria não provou. Para o período posterior a 30/08/2024, aplica-se a taxa legal do art. 406 do CC, na redação da Lei 14.905/2024.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VIII — DA MANUTENÇÃO DA INVERSÃO DO ÔNUS DA PROVA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A Ré impugna a inversão do ônus da prova (Págs. 75–77) alegando falta de verossimilhança e de hipossuficiência, e “prova negativa”. No Juizado Especial, a inversão do art. 6º, VIII, do CDC é de pleno direito, bastando a presença dos seus requisitos, que estão presentes: (i) </w:t>
      </w:r>
      <w:r>
        <w:rPr>
          <w:rFonts w:ascii="Arial" w:hAnsi="Arial"/>
          <w:b/>
        </w:rPr>
        <w:t>verossimilhança</w:t>
      </w:r>
      <w:r>
        <w:rPr>
          <w:rFonts w:ascii="Arial" w:hAnsi="Arial"/>
          <w:b w:val="0"/>
        </w:rPr>
        <w:t xml:space="preserve">: o CCS do Banco Central confirma a existência da conta; a ficha da Ré não traz biometria, geolocalização, IP, dispositivo, contrato ou aceite; e a Ré se contradiz sobre data, produto e uso; (ii) </w:t>
      </w:r>
      <w:r>
        <w:rPr>
          <w:rFonts w:ascii="Arial" w:hAnsi="Arial"/>
          <w:b/>
        </w:rPr>
        <w:t>hipossuficiência técnica</w:t>
      </w:r>
      <w:r>
        <w:rPr>
          <w:rFonts w:ascii="Arial" w:hAnsi="Arial"/>
          <w:b w:val="0"/>
        </w:rPr>
        <w:t>: logs, biometria e sistemas de abertura estão exclusivamente em poder da Ré, que se diz a controladora da licença e da infraestrutura.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Tampouco se trata de “prova diabólica”. A Autora não precisa provar que não contratou. É a Ré quem deve provar o fato positivo da contratação, e para isso bastaria o registro técnico que ela mesma diz possuir. O argumento da Ré de que “a inversão não dispensa prova mínima” é correto em abstrato e inaplicável aqui: o CCS, os documentos da Autora e as lacunas da própria ficha da Ré já constituem essa prova mínima.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IX — DA VIOLAÇÃO À LGPD E AO DEVER DE SEGURANÇA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Ao manter dados da Autora em uma conta que ela não pediu, a Ré trata dados pessoais sem base legal válida: não há consentimento (art. 7º, I, LGPD), e a obrigação legal de reporte ao CCS pressupõe uma relação legítima, que a Ré não provou. A Ré é controladora (art. 5º, VI) e responde pela segurança (art. 6º, VII), pela prevenção de danos (art. 6º, VIII), pelas medidas técnicas aptas a impedir cadastros não autorizados (art. 46) e, independentemente de culpa, pelo dano causado (art. 42). A tese de que a Ré só “processou a requisição” e de que a custódia das credenciais é do titular (Pág. 69) inverte a lógica da lei: o dever de segurança do controlador é dele, e a Autora sequer foi cliente.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X — DA OBRIGAÇÃO DE FAZER: CANCELAMENTO DA RELAÇÃO E EXCLUSÃO DOS DADOS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O relatório CCS indica a relação com a Ré como “Ativo” (Id. 202765274, Pág. 18). Enquanto isso permanecer, subsistem o risco de novas contratações, o uso dos dados e a possibilidade de cobranças ou negativações futuras. O interesse na declaração de inexistência e na exclusão integral dos registros é, portanto, atual, e a obrigação de cancelar e eliminar os dados, inclusive junto à parceira que atua em nome da Ré, deve ser imposta, sob pena de multa diária, como requerido na inicial, cumprindo à Ré comprovar nos autos o cumprimento.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XI — DAS LACUNAS PROBATÓRIAS DA RÉ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 xml:space="preserve">No Juizado Especial, a ausência de prova pela parte a quem ela incumbia produzir é argumento de mérito. A Ré </w:t>
      </w:r>
      <w:r>
        <w:rPr>
          <w:rFonts w:ascii="Arial" w:hAnsi="Arial"/>
          <w:b/>
        </w:rPr>
        <w:t>não juntou, podendo e devendo fazê-lo</w:t>
      </w:r>
      <w:r>
        <w:rPr>
          <w:rFonts w:ascii="Arial" w:hAnsi="Arial"/>
          <w:b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Elemento não juntado</w:t>
            </w:r>
          </w:p>
        </w:tc>
        <w:tc>
          <w:tcPr>
            <w:tcW w:type="dxa" w:w="3288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Efeito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Relatório técnico de biometria (Datavalid ou equivalente), selfie, liveness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Não há prova de identificação da pessoa que abriu a conta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Log técnico da abertura: IP, dispositivo, coordenadas (todos os campos em branco, Pág. 87)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Não há prova de local, aparelho ou sessão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Captura do documento enviado no cadastro (“Sem captura”, Pág. 88)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Não há prova de que o documento foi enviado pela Autora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Contrato ou termo de uso assinado e o registro do aceite com metadados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Não há prova de manifestação de vontade (art. 104, CC/02)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Comprovação de que o e-mail cadastrado pertence à Autora (o bureau diz “Não”, Pág. 84)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Cadeia de autenticação rompida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Extrato ou log de qualquer transferência ou uso (ficha: “Valor Utilizado R$ 0”)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A tese do “proveito econômico” fica sem lastro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Relatórios Serasa invocados com a Súmula 385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Argumento sem instrução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/>
                <w:b w:val="0"/>
                <w:sz w:val="19"/>
              </w:rPr>
              <w:t>Registros de atendimento, protocolos e o motivo do bloqueio indicado na própria ficha (Id. 207088680, Pág. 85)</w:t>
            </w:r>
          </w:p>
        </w:tc>
        <w:tc>
          <w:tcPr>
            <w:tcW w:type="dxa" w:w="3288"/>
          </w:tcPr>
          <w:p>
            <w:r/>
            <w:r>
              <w:rPr>
                <w:rFonts w:ascii="Arial" w:hAnsi="Arial"/>
                <w:b w:val="0"/>
                <w:sz w:val="19"/>
              </w:rPr>
              <w:t>Não explica o status da conta e nem a resposta dada à Autora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</w:rPr>
        <w:t>Em cada omissão, incumbia à Ré a prova (art. 373, II, CPC), e a ausência confirma a verossimilhança das alegações da Autora (art. 6º, VIII, CDC). Por tratar-se de prova exclusivamente documental já constante dos autos, a causa está madura para julgamento (art. 355, I, CPC, subsidiariamente ao rito do Juizado).</w:t>
      </w: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XII — SÍNTESE ANALÍTICA E ÍNDICE DE DOCUMENTOS</w:t>
      </w: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XII.A — ÍNDICE DOS DOCUMENTOS DA RÉ (IDS. 207088678 A 207088683)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Arial" w:hAnsi="Arial"/>
                <w:b/>
                <w:sz w:val="17"/>
              </w:rPr>
              <w:t>Arquivo</w:t>
            </w:r>
          </w:p>
        </w:tc>
        <w:tc>
          <w:tcPr>
            <w:tcW w:type="dxa" w:w="737"/>
            <w:shd w:val="clear" w:color="auto" w:fill="D9E2F3"/>
          </w:tcPr>
          <w:p>
            <w:r/>
            <w:r>
              <w:rPr>
                <w:rFonts w:ascii="Arial" w:hAnsi="Arial"/>
                <w:b/>
                <w:sz w:val="17"/>
              </w:rPr>
              <w:t>Págs.</w:t>
            </w:r>
          </w:p>
        </w:tc>
        <w:tc>
          <w:tcPr>
            <w:tcW w:type="dxa" w:w="3061"/>
            <w:shd w:val="clear" w:color="auto" w:fill="D9E2F3"/>
          </w:tcPr>
          <w:p>
            <w:r/>
            <w:r>
              <w:rPr>
                <w:rFonts w:ascii="Arial" w:hAnsi="Arial"/>
                <w:b/>
                <w:sz w:val="17"/>
              </w:rPr>
              <w:t>Conteúdo verificado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Arial" w:hAnsi="Arial"/>
                <w:b/>
                <w:sz w:val="17"/>
              </w:rPr>
              <w:t>Relevância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207088678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Contestação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62–83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Peça com telas incorporadas (cadastro, bureau, geolocalização, documento)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Admite CCS; sem biometria, sem log, sem contrato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207088679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Cadastro 1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84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“Dados do Cadastro”: “Valor Utilizado R$ 0”; e-mail com “Vinculado: Não”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Contradiz “uso” e canal de e-mail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207088680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Cadastro 2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85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Tela de cadastro (Device ID vazio; status do cadastro)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Sem dispositivo; status sem explicação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207088681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Cadastro 3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Bureau (consulta)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Dado de consulta, não de autenticação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207088682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Cadastro 4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87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Geolocalização/dispositivo: campos em branco; “Sem captura”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Ausência de log técnico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207088683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Cadastro 5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88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“Documento Apresentado – Cadastro: Sem captura”; imagem em campo “Processo”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Ausência de captura de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206904859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7"/>
              </w:rPr>
              <w:t>Procuração Celcoin→Jeitto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/>
                <w:b w:val="0"/>
                <w:sz w:val="17"/>
              </w:rPr>
              <w:t>50–55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sz w:val="17"/>
              </w:rPr>
              <w:t>Mandato ad judicia et extra, 20/01/2026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sz w:val="17"/>
              </w:rPr>
              <w:t>Representação processual; não prova gestão da conta</w:t>
            </w:r>
          </w:p>
        </w:tc>
      </w:tr>
    </w:tbl>
    <w:p>
      <w:pPr>
        <w:spacing w:after="80"/>
      </w:pPr>
    </w:p>
    <w:p>
      <w:pPr>
        <w:keepNext/>
        <w:spacing w:before="160" w:after="120"/>
        <w:jc w:val="both"/>
      </w:pPr>
      <w:r>
        <w:rPr>
          <w:rFonts w:ascii="Arial" w:hAnsi="Arial"/>
          <w:b/>
          <w:color w:val="1F3864"/>
        </w:rPr>
        <w:t>XII.B — SÍNTESE DE INDÍCIOS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Grau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rFonts w:ascii="Arial" w:hAnsi="Arial"/>
                <w:b/>
                <w:sz w:val="19"/>
              </w:rPr>
              <w:t>Indício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CRÍTICO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Ausência de biometria, selfie, liveness e relatório técnico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CRÍTICO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Geolocalização, IP e dispositivo em branco; “Sem captura” (Pág. 87)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CRÍTICO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Documento do cadastro: “Sem captura” (Pág. 88); sem contrato e sem registro de aceite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GRAVE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E-mail do cadastro não vinculado à Autora segundo o bureau da Ré (Pág. 84)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GRAVE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“Transferência para a própria conta” alegada, mas “Valor Utilizado R$ 0” na ficha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9"/>
              </w:rPr>
              <w:t>RELEVANTE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b w:val="0"/>
                <w:sz w:val="19"/>
              </w:rPr>
              <w:t>Contestação com datas, produto e pedido de outro caso; relatórios Serasa não juntados</w:t>
            </w:r>
          </w:p>
        </w:tc>
      </w:tr>
    </w:tbl>
    <w:p>
      <w:pPr>
        <w:spacing w:after="80"/>
      </w:pPr>
    </w:p>
    <w:p>
      <w:pPr>
        <w:keepNext/>
        <w:pBdr>
          <w:bottom w:val="single" w:sz="8" w:space="1" w:color="1F3864"/>
        </w:pBdr>
        <w:spacing w:before="280" w:after="160"/>
        <w:jc w:val="both"/>
      </w:pPr>
      <w:r>
        <w:rPr>
          <w:rFonts w:ascii="Arial" w:hAnsi="Arial"/>
          <w:b/>
          <w:color w:val="1F3864"/>
        </w:rPr>
        <w:t>XIII — DOS PEDIDOS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Ante o exposto, a Autora requer: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a) a rejeição de todas as preliminares da contestação (impugnação à gratuidade, ilegitimidade passiva e impugnação genérica de documentos), com a manutenção da gratuidade da justiça;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b) o reconhecimento da inidoneidade probatória das telas sistêmicas e do documento sem captura apresentados pela Ré, por não conterem biometria, geolocalização, IP, dispositivo, contrato assinado nem registro de aceite;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c) a manutenção da inversão do ônus da prova, de pleno direito (art. 6º, VIII, CDC);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d) o julgamento antecipado do mérito, por ser a prova exclusivamente documental e já constante dos autos;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e) o acolhimento do pedido de tutela de urgência da inicial, para o cancelamento imediato da conta e dos produtos associados e para que a Ré se abstenha de inscrever o nome da Autora em cadastros restritivos, ou a sua confirmação em sentença, já que a relação consta como “Ativo” no CCS;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 xml:space="preserve">f) a procedência integral dos pedidos da inicial, para: (1) declarar a </w:t>
      </w:r>
      <w:r>
        <w:rPr>
          <w:rFonts w:ascii="Arial" w:hAnsi="Arial"/>
          <w:b/>
        </w:rPr>
        <w:t>inexistência da relação jurídica</w:t>
      </w:r>
      <w:r>
        <w:rPr>
          <w:rFonts w:ascii="Arial" w:hAnsi="Arial"/>
          <w:b w:val="0"/>
        </w:rPr>
        <w:t xml:space="preserve"> entre a Autora e a Ré, com a nulidade de todos os vínculos, contas, produtos e eventuais débitos associados ao CPF da Autora; (2) condenar a Ré à </w:t>
      </w:r>
      <w:r>
        <w:rPr>
          <w:rFonts w:ascii="Arial" w:hAnsi="Arial"/>
          <w:b/>
        </w:rPr>
        <w:t>obrigação de fazer</w:t>
      </w:r>
      <w:r>
        <w:rPr>
          <w:rFonts w:ascii="Arial" w:hAnsi="Arial"/>
          <w:b w:val="0"/>
        </w:rPr>
        <w:t xml:space="preserve">, consistente no cancelamento definitivo da conta e na exclusão integral e irretratável dos dados da Autora de seus sistemas e dos de empresas parceiras que atuam em seu nome, sob pena de multa diária; (3) condenar a Ré ao pagamento de </w:t>
      </w:r>
      <w:r>
        <w:rPr>
          <w:rFonts w:ascii="Arial" w:hAnsi="Arial"/>
          <w:b/>
        </w:rPr>
        <w:t>R$ 8.000,00 a título de danos morais</w:t>
      </w:r>
      <w:r>
        <w:rPr>
          <w:rFonts w:ascii="Arial" w:hAnsi="Arial"/>
          <w:b w:val="0"/>
        </w:rPr>
        <w:t xml:space="preserve"> e de </w:t>
      </w:r>
      <w:r>
        <w:rPr>
          <w:rFonts w:ascii="Arial" w:hAnsi="Arial"/>
          <w:b/>
        </w:rPr>
        <w:t>R$ 2.000,00 a título de desvio produtivo</w:t>
      </w:r>
      <w:r>
        <w:rPr>
          <w:rFonts w:ascii="Arial" w:hAnsi="Arial"/>
          <w:b w:val="0"/>
        </w:rPr>
        <w:t>, com juros de mora desde a abertura da conta (Súmula 54/STJ) e correção monetária desde o arbitramento (Súmula 362/STJ);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g) a condenação da Ré, em caso de recurso, em honorários advocatícios nos termos do pedido da inicial;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h) o indeferimento do pedido de condenação da Autora em honorários e custas, formulado pela Ré;</w:t>
      </w:r>
    </w:p>
    <w:p>
      <w:pPr>
        <w:spacing w:line="360" w:lineRule="auto" w:after="120"/>
        <w:jc w:val="both"/>
      </w:pPr>
      <w:r>
        <w:rPr>
          <w:rFonts w:ascii="Arial" w:hAnsi="Arial"/>
          <w:b w:val="0"/>
        </w:rPr>
        <w:t>i) que as intimações sejam feitas em nome do advogado signatário.</w:t>
      </w:r>
    </w:p>
    <w:p>
      <w:pPr>
        <w:spacing w:line="360" w:lineRule="auto" w:after="280"/>
        <w:jc w:val="both"/>
      </w:pPr>
      <w:r>
        <w:rPr>
          <w:rFonts w:ascii="Arial" w:hAnsi="Arial"/>
          <w:b w:val="0"/>
        </w:rPr>
        <w:t>Nestes termos, pede deferimento.</w:t>
      </w:r>
    </w:p>
    <w:p>
      <w:pPr>
        <w:spacing w:line="360" w:lineRule="auto" w:after="480"/>
        <w:jc w:val="center"/>
      </w:pPr>
      <w:r>
        <w:rPr>
          <w:rFonts w:ascii="Arial" w:hAnsi="Arial"/>
          <w:b w:val="0"/>
        </w:rPr>
        <w:t>Ilhéus/BA, 05 de outubro de 2026.</w:t>
      </w:r>
    </w:p>
    <w:p>
      <w:pPr>
        <w:spacing w:line="360" w:lineRule="auto" w:after="0"/>
        <w:jc w:val="center"/>
      </w:pPr>
      <w:r>
        <w:rPr>
          <w:rFonts w:ascii="Arial" w:hAnsi="Arial"/>
          <w:b/>
        </w:rPr>
        <w:t>CLEYTON DA SILVA BARBOSA</w:t>
      </w:r>
    </w:p>
    <w:p>
      <w:pPr>
        <w:spacing w:line="360" w:lineRule="auto" w:after="120"/>
        <w:jc w:val="center"/>
      </w:pPr>
      <w:r>
        <w:rPr>
          <w:rFonts w:ascii="Arial" w:hAnsi="Arial"/>
          <w:b w:val="0"/>
        </w:rPr>
        <w:t>OAB/MS 17.311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