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i w:val="0"/>
        </w:rPr>
        <w:t xml:space="preserve">EXCELENTÍSSIMO(A) SENHOR(A) DOUTOR(A) JUIZ(A) DE DIREITO DA </w:t>
      </w:r>
      <w:r>
        <w:rPr>
          <w:b/>
          <w:i w:val="0"/>
          <w:highlight w:val="yellow"/>
        </w:rPr>
        <w:t>[PREENCHER: nº]</w:t>
      </w:r>
      <w:r>
        <w:rPr>
          <w:b/>
          <w:i w:val="0"/>
        </w:rPr>
        <w:t>ª VARA CÍVEL DA COMARCA DE SALVADOR/BA</w:t>
      </w:r>
    </w:p>
    <w:p/>
    <w:p>
      <w:pPr>
        <w:spacing w:after="160"/>
        <w:ind w:firstLine="709"/>
        <w:jc w:val="both"/>
      </w:pPr>
      <w:r>
        <w:rPr>
          <w:b/>
          <w:i w:val="0"/>
        </w:rPr>
        <w:t>EMENTA: DIREITO DO CONSUMIDOR E DIREITO BANCÁRIO. AÇÃO REVISIONAL DE CONTRATO DE EMPRÉSTIMO PESSOAL (CLT) COM GARANTIA DE VERBA RESCISÓRIA — CONTRATO N.º 000592391780. TAXA INFORMADA DE 9,59% a.m. (CET DE 10,16% a.m.) E TAXA EFETIVA IMPLÍCITA DE 13,26% a.m., EM CONFRONTO COM A TAXA MÉDIA DE 6,47% a.m. DIVULGADA PELO BANCO CENTRAL. CET E TAXA IMPLÍCITA SUPERIORES A UMA VEZ E MEIA A MÉDIA (2,05 VEZES). OPERAÇÃO DE BAIXO RISCO DE CRÉDITO (GARANTIA DE VERBA RESCISÓRIA). ENCARGOS NÃO DISCRIMINADOS. PEDIDO DE EXIBIÇÃO DO CONTRATO. REVISÃO DO SALDO E REPETIÇÃO DO INDÉBITO EM DOBRO, SE COMPROVADO O PAGAMENTO (EAREsp 676.608/RS). TEMA 1378/STJ. TUTELA DE URGÊNCIA PREVENTIVA.</w:t>
      </w:r>
    </w:p>
    <w:p>
      <w:pPr>
        <w:spacing w:after="160"/>
        <w:jc w:val="left"/>
      </w:pPr>
      <w:r>
        <w:rPr>
          <w:b w:val="0"/>
          <w:i w:val="0"/>
        </w:rPr>
        <w:t>Consulta pública da taxa média de juros — Banco Central do Brasil: www3.bcb.gov.br/sgspub/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 xml:space="preserve">ALESSANDRA RODRIGUES DOS SANTOS DA HORA, brasileira, </w:t>
      </w:r>
      <w:r>
        <w:rPr>
          <w:b w:val="0"/>
          <w:i w:val="0"/>
          <w:highlight w:val="yellow"/>
        </w:rPr>
        <w:t>[PREENCHER: estado civil]</w:t>
      </w:r>
      <w:r>
        <w:rPr>
          <w:b w:val="0"/>
          <w:i w:val="0"/>
        </w:rPr>
        <w:t>, empregada sob o regime da Consolidação das Leis do Trabalho, portadora do RG n.º 12.527.595-17, inscrita no CPF sob o n.º 071.847.985-89, residente e domiciliada na Rua Sudão, n.º 28-E, bairro Coutos, CEP 40750-570, Salvador/BA, vem, respeitosamente, por seu advogado infra-assinado, à presença de Vossa Excelência, com fundamento nos arts. 1.º, III, 5.º, XXXII, e 170, V, da Constituição Federal, na Lei n.º 8.078/90 e no Código de Processo Civil, propor a presente</w:t>
      </w:r>
    </w:p>
    <w:p>
      <w:pPr>
        <w:spacing w:after="160"/>
        <w:jc w:val="center"/>
      </w:pPr>
      <w:r>
        <w:rPr>
          <w:b/>
          <w:i w:val="0"/>
        </w:rPr>
        <w:t>AÇÃO REVISIONAL DE CONTRATO C/C REPETIÇÃO DE INDÉBITO,</w:t>
      </w:r>
    </w:p>
    <w:p>
      <w:pPr>
        <w:spacing w:after="160"/>
        <w:jc w:val="center"/>
      </w:pPr>
      <w:r>
        <w:rPr>
          <w:b/>
          <w:i w:val="0"/>
        </w:rPr>
        <w:t>TUTELA DE URGÊNCIA E INDENIZAÇÃO POR DANOS MATERIAIS E MORAIS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em face de BANCO MERCANTIL DO BRASIL S/A, pessoa jurídica de direito privado, inscrita no CNPJ sob o n.º 17.184.037/0001-10, com sede na Avenida do Contorno, n.º 5800, Andares 11 a 15, Savassi, CEP 30110-042, Belo Horizonte/MG, pelos fatos e fundamentos jurídicos a seguir articulados:</w:t>
      </w:r>
    </w:p>
    <w:p>
      <w:pPr>
        <w:spacing w:after="160"/>
        <w:jc w:val="center"/>
      </w:pPr>
      <w:r>
        <w:rPr>
          <w:b/>
          <w:i w:val="0"/>
        </w:rPr>
        <w:t>SEÇÃO I — DAS QUESTÕES PRELIMINARES</w:t>
      </w:r>
    </w:p>
    <w:p>
      <w:pPr>
        <w:spacing w:after="160"/>
        <w:jc w:val="left"/>
      </w:pPr>
      <w:r>
        <w:rPr>
          <w:b/>
          <w:i w:val="0"/>
        </w:rPr>
        <w:t>1. Da gratuidade da justiça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 é trabalhadora assalariada (empregada sob o regime da CLT), tendo o vínculo de emprego sido encerrado, conforme informado nos próprios extratos dos contratos. Sua renda não comporta o pagamento de custas processuais e honorários advocatícios sem sacrifício do sustento próprio e familiar. A garantia do art. 5.º, LXXIV, da Constituição Federal é condição de acesso à jurisdição. Requer-se, pois, a concessão da gratuidade da justiça, na forma dos arts. 98 e seguintes do Código de Processo Civil, conforme declaração de hipossuficiência anexa.</w:t>
      </w:r>
    </w:p>
    <w:p>
      <w:pPr>
        <w:spacing w:after="160"/>
        <w:jc w:val="left"/>
      </w:pPr>
      <w:r>
        <w:rPr>
          <w:b/>
          <w:i w:val="0"/>
        </w:rPr>
        <w:t>2. Do desinteresse na audiência de conciliação e mediação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 manifesta, desde logo, desinteresse na designação da audiência do art. 334 do CPC (§5.º), em prestígio à razoável duração do processo (art. 5.º, LXXVIII, CF/88), sem prejuízo de eventual proposta de acordo que a Ré queira apresentar nos autos.</w:t>
      </w:r>
    </w:p>
    <w:p>
      <w:pPr>
        <w:spacing w:after="160"/>
        <w:jc w:val="left"/>
      </w:pPr>
      <w:r>
        <w:rPr>
          <w:b/>
          <w:i w:val="0"/>
        </w:rPr>
        <w:t>3. Do julgamento antecipado do mérito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controvérsia é preponderantemente documental: de um lado, as condições do contrato, com a taxa e o custo informados; de outro, a série histórica oficial do Banco Central do Brasil, dado público e notório. Requer-se, após a exibição do instrumento contratual e da composição dos encargos pela Ré, o julgamento antecipado do mérito (art. 355, I, do CPC), sem prejuízo da perícia contábil, caso necessária.</w:t>
      </w:r>
    </w:p>
    <w:p>
      <w:pPr>
        <w:spacing w:after="160"/>
        <w:jc w:val="center"/>
      </w:pPr>
      <w:r>
        <w:rPr>
          <w:b/>
          <w:i w:val="0"/>
        </w:rPr>
        <w:t>SEÇÃO II — DOS FATOS</w:t>
      </w:r>
    </w:p>
    <w:p>
      <w:pPr>
        <w:spacing w:after="160"/>
        <w:jc w:val="left"/>
      </w:pPr>
      <w:r>
        <w:rPr>
          <w:b/>
          <w:i w:val="0"/>
        </w:rPr>
        <w:t>1. Da contratação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Autora, empregada sob o regime celetista, contratou com a Ré, em 07/02/2026, empréstimo pessoal (CLT) com garantia de verba rescisória, registrado sob o n.º 000592391780. Segundo o extrato do contrato disponibilizado no aplicativo da Ré (captura de tela anexa), o valor do empréstimo é de R$ 2.592,47 (dois mil, quinhentos e noventa e dois reais e quarenta e sete centavos), a ser pago em 12 (doze) parcelas fixas de R$ 443,24 (quatrocentos e quarenta e três reais e vinte e quatro centavos), com desconto previsto de março/2026 a fevereiro/2027 (final parcialmente ilegível, inferido pelas 12 parcelas), totalizando R$ 5.318,88 (cinco mil, trezentos e dezoito reais e oitenta e oito centavos), isto é, 2,05 vezes o capital recebido, com encargos de R$ 2.726,41 (105,17% do capital). Constam como garantia a verba rescisória (16,31%), taxa de juros de 9,59% ao mês e Custo Efetivo Total (CET) de 10,16% ao mês.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 xml:space="preserve">O mesmo extrato informa a situação do contrato como "encerrado por término do vínculo" e "parcelas pagas: 0". </w:t>
      </w:r>
      <w:r>
        <w:rPr>
          <w:b w:val="0"/>
          <w:i w:val="0"/>
          <w:highlight w:val="yellow"/>
        </w:rPr>
        <w:t>[PREENCHER: confirmar com a Autora a data da rescisão, se houve retenção do valor na verba rescisória (TRCT) ou pagamento de alguma parcela, e se há cobrança em curso.]</w:t>
      </w:r>
    </w:p>
    <w:p>
      <w:pPr>
        <w:spacing w:after="160"/>
        <w:jc w:val="left"/>
      </w:pPr>
      <w:r>
        <w:rPr>
          <w:b/>
          <w:i w:val="0"/>
        </w:rPr>
        <w:t>2. Da demonstração aritmética da abusividade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Resolvendo-se a taxa a partir dos dados do próprio extrato (capital de R$ 2.592,47, 12 prestações de R$ 443,24, Tabela Price), obtém-se taxa efetiva implícita de 13,26% ao mês, ou seja, 2,05 vezes a taxa média de mercado de fevereiro/2026, de 6,47% ao mês (conforme consulta anexa; a série específica a ser conferida). O próprio CET informado (10,16% a.m.) equivale a 1,57 vez a média, superando a régua de uma vez e meia (9,71% a.m.). A taxa nominal informada (9,59% a.m.) corresponde a 1,48 vez a média. A prestação compatível com a taxa de 9,59% seria de R$ 372,87, e não de R$ 443,24; ou, a 9,59%, a prestação cobrada corresponderia a capital de R$ 3.081,73, o que sugere R$ 489,26 de encargos embutidos e não explicitados. Veja-se o quadro: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CONTRATO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0"/>
              </w:rPr>
              <w:t>MERCADO (BACEN)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Taxa nominal informada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9,59% a.m. (1,48x a média)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6,47%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CET informado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10,16% a.m. (1,57x a média)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Taxa efetiva implícita (Price)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13,26% a.m. (2,05x a média)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Prestação cobrada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R$ 443,24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Prestação pela taxa média (Price)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R$ 317,24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Excesso mensal / total (12 parcelas)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R$ 126,00 / R$ 1.512,01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</w:tbl>
    <w:p/>
    <w:p>
      <w:pPr>
        <w:spacing w:after="160"/>
        <w:ind w:firstLine="709"/>
        <w:jc w:val="both"/>
      </w:pPr>
      <w:r>
        <w:rPr>
          <w:b w:val="0"/>
          <w:i w:val="0"/>
        </w:rPr>
        <w:t>O recálculo pela taxa média, com o capital e o prazo originais pelo Sistema Francês de Amortização, resulta em prestação de R$ 317,24, de modo que o valor incontroverso do contrato (12 x R$ 317,24) é de R$ 3.806,87, e o excesso nominal é de R$ 1.512,01, que, corrigido pelo IPCA, atinge R$ 1.515,84 (R$ 3.031,69 em dobro), na hipótese de pagamento integral, que depende de confirmação.</w:t>
      </w:r>
    </w:p>
    <w:p>
      <w:pPr>
        <w:spacing w:after="160"/>
        <w:jc w:val="left"/>
      </w:pPr>
      <w:r>
        <w:rPr>
          <w:b/>
          <w:i w:val="0"/>
        </w:rPr>
        <w:t>3. Da ressalva quanto ao cálculo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 informa, com lealdade, que: (i) os dados provêm de capturas de tela do aplicativo, e não do instrumento contratual, que está em poder da Ré; (ii) o extrato indica "parcelas pagas: 0", de modo que os valores de repetição constantes da Memória de Cálculo são projeção na hipótese de adimplemento integral, a confirmar em liquidação conforme o que se comprovar efetivamente pago, retido ou compensado; e (iii) há forte divergência entre a taxa declarada, o CET e a prestação efetivamente cobrada, circunstância que a exibição do contrato e da composição de IOF e tarifas esclarecerá.</w:t>
      </w:r>
    </w:p>
    <w:p>
      <w:pPr>
        <w:spacing w:after="160"/>
        <w:jc w:val="center"/>
      </w:pPr>
      <w:r>
        <w:rPr>
          <w:b/>
          <w:i w:val="0"/>
        </w:rPr>
        <w:t>SEÇÃO III — DO DIREITO</w:t>
      </w:r>
    </w:p>
    <w:p>
      <w:pPr>
        <w:spacing w:after="160"/>
        <w:jc w:val="left"/>
      </w:pPr>
      <w:r>
        <w:rPr>
          <w:b/>
          <w:i w:val="0"/>
        </w:rPr>
        <w:t>1. Da aplicação do Código de Defesa do Consumidor às instituições financeiras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O Código de Defesa do Consumidor é aplicável às instituições financeiras (Súmula 297/STJ), tendo o Supremo Tribunal Federal, na ADI 2.591, assentado que as operações bancárias integram o conceito de serviço do art. 3.º, §2.º, do CDC. Incidem, portanto, o princípio da vulnerabilidade (art. 4.º, I), o dever de informação clara, adequada e ostensiva sobre o custo da operação (arts. 6.º, III, 31, 46 e 52), a nulidade das cláusulas abusivas (art. 51, IV e §1.º, III), a vedação à exigência de vantagem manifestamente excessiva (art. 39, V) e a responsabilidade objetiva do fornecedor (art. 14).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O contrato de adesão (art. 54, CDC), redigido unilateralmente, sem espaço de negociação, deve ser interpretado de maneira mais favorável ao consumidor (art. 47), e as cláusulas que estabeleçam obrigações iníquas ou coloquem o consumidor em desvantagem exagerada são nulas de pleno direito (art. 51, IV), nulidade que não se convalida pela assinatura, pelo pagamento ou pelo decurso do tempo.</w:t>
      </w:r>
    </w:p>
    <w:p>
      <w:pPr>
        <w:spacing w:after="160"/>
        <w:jc w:val="left"/>
      </w:pPr>
      <w:r>
        <w:rPr>
          <w:b/>
          <w:i w:val="0"/>
        </w:rPr>
        <w:t>2. Da prática abusiva — art. 39, IV e V, do CDC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Quem procura crédito com garantia da própria verba rescisória revela, pelo ato, situação de aperto financeiro. O art. 39, IV, do CDC veda ao fornecedor prevalecer-se da fraqueza ou da condição social do consumidor para impingir-lhe seus serviços, e o inciso V veda a exigência de vantagem manifestamente excessiva. A parte Autora, trabalhadora com contratos concomitantes de crédito celebrados em curto intervalo (dezembro/2025 e fevereiro/2026), encontra-se em situação de vulnerabilidade agravada, a merecer a tutela reforçada do ordenamento, inclusive sob a ótica da prevenção ao superendividamento (Lei n.º 14.181/2021).</w:t>
      </w:r>
    </w:p>
    <w:p>
      <w:pPr>
        <w:spacing w:after="160"/>
        <w:jc w:val="left"/>
      </w:pPr>
      <w:r>
        <w:rPr>
          <w:b/>
          <w:i w:val="0"/>
        </w:rPr>
        <w:t>3. Do parâmetro de controle dos juros remuneratórios — Tema 27/STJ e Súmula 530/STJ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liberação do teto da Lei de Usura para as instituições financeiras (Súmula 596/STF; Súmula 382/STJ) jamais significou liberação do controle judicial. No REsp 1.061.530/RS (Segunda Seção, Rel. Min. Nancy Andrighi, rito dos recursos repetitivos), o Superior Tribunal de Justiça admitiu a revisão das taxas quando caracterizada a relação de consumo e demonstrada a abusividade capaz de colocar o consumidor em desvantagem exagerada (art. 51, §1.º, CDC), adotando a taxa média de mercado divulgada pelo Banco Central do Brasil como referencial objetivo. Na impossibilidade de comprovar a taxa efetivamente contratada, aplica-se a taxa média de mercado, salvo se a taxa cobrada for mais vantajosa para o devedor (Súmula 530/STJ).</w:t>
      </w:r>
    </w:p>
    <w:p>
      <w:pPr>
        <w:spacing w:after="160"/>
        <w:jc w:val="left"/>
      </w:pPr>
      <w:r>
        <w:rPr>
          <w:b/>
          <w:i w:val="0"/>
        </w:rPr>
        <w:t>4. Da abusividade pela taxa efetivamente cobrada e do Tema 1378/STJ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Segunda Seção do Superior Tribunal de Justiça afetou ao rito dos recursos repetitivos o Tema 1378, para definir se a taxa média de mercado é suficiente, como fundamento exclusivo, para aferir a abusividade dos juros remuneratórios. A suspensão alcança os recursos especiais, não as ações em primeiro grau (art. 1.037, II, do CPC).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Esta demanda não se apoia exclusivamente na taxa média. Embora a taxa nominal informada (9,59% a.m.) fique pouco abaixo da régua de uma vez e meia (9,71% a.m.), o CET informado (10,16% a.m.) a supera, e a taxa efetiva implícita (13,26% a.m.) corresponde a 2,05 vezes a média, sem justificativa discriminada. A isso se somam as circunstâncias concretas: (i) operação com garantia de verba rescisória (16,31%), de natureza alimentar e existência juridicamente certa, o que reduz o risco de crédito que justificaria o spread; (ii) encargos de 105,17% do capital em 12 meses; (iii) divergência entre a taxa declarada, o CET e a prestação cobrada, indicando encargos embutidos de R$ 489,26 não explicitados; (iv) contrato de adesão, sem informação qualificada do custo efetivo; e (v) contratação concomitante de duas operações da espécie (dezembro/2025 e fevereiro/2026) por trabalhadora hipossuficiente. Tais elementos são as "peculiaridades do caso concreto" que a corrente mais exigente do repetitivo reclama.</w:t>
      </w:r>
    </w:p>
    <w:p>
      <w:pPr>
        <w:spacing w:after="160"/>
        <w:jc w:val="left"/>
      </w:pPr>
      <w:r>
        <w:rPr>
          <w:b/>
          <w:i w:val="0"/>
        </w:rPr>
        <w:t>5. Da capitalização de juros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taxa mensal de 9,59%, capitalizada, resulta em 200,09% ao ano, ao passo que o regime simples resultaria em 115,08%. A taxa anual contratada não aparece nas imagens do extrato. A capitalização somente é admitida quando expressamente pactuada (Súmula 541/STJ), e a pactuação, em contrato de adesão, exige informação destacada, clara e compreensível (art. 46 do CDC). Requer-se a verificação, no instrumento a ser exibido, de sua pactuação expressa, vedada a capitalização em taxa superior à média na ausência desta (Súmula 121/STF; art. 4.º do Decreto n.º 22.626/33).</w:t>
      </w:r>
    </w:p>
    <w:p>
      <w:pPr>
        <w:spacing w:after="160"/>
        <w:jc w:val="left"/>
      </w:pPr>
      <w:r>
        <w:rPr>
          <w:b/>
          <w:i w:val="0"/>
        </w:rPr>
        <w:t>6. Da inversão do ônus da prova e da exibição do contrato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 é hipossuficiente técnica frente à instituição financeira, detentora exclusiva do instrumento contratual, da composição do valor liberado, dos encargos (IOF, tarifas, seguros) e do cronograma de cobrança. Os dados aqui expostos provêm de capturas de tela do extrato do contrato no aplicativo da Ré, e não do instrumento original. Impõe-se a inversão do ônus da prova (art. 6.º, VIII, CDC) e, com fundamento nos arts. 396 a 400 do CPC e no dever de informação, a determinação de que a Ré exiba, no prazo da contestação, cópia integral do contrato, da proposta/CCB, do demonstrativo de liberação do crédito (valor líquido, IOF, tarifas e seguros), da planilha de evolução da dívida e dos extratos de eventuais descontos efetuados em folha, verba rescisória ou conta, sob pena de se presumirem verdadeiros os fatos que a parte Autora pretendia provar (art. 400 do CPC), aplicando-se a taxa média de mercado (Súmula 530/STJ).</w:t>
      </w:r>
    </w:p>
    <w:p>
      <w:pPr>
        <w:spacing w:after="160"/>
        <w:jc w:val="left"/>
      </w:pPr>
      <w:r>
        <w:rPr>
          <w:b/>
          <w:i w:val="0"/>
        </w:rPr>
        <w:t>7. Da tutela de urgência — art. 300 do CPC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probabilidade do direito decorre da prova documental pré-constituída (extrato do contrato e série histórica do BACEN), que demonstra taxa efetiva implícita de 2,05 vezes a média e CET superior à régua de uma vez e meia. O perigo de dano reside no risco de a Ré, a pretexto do inadimplemento ou do encerramento do vínculo, cobrar a dívida em valor integral e sem a revisão pleiteada, inclusive mediante retenção sobre verba de natureza alimentar (verbas rescisórias, dada em garantia) ou inscrição do nome da Autora em cadastros de inadimplentes, o que lhe agravaria a situação de hipossuficiência.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 xml:space="preserve">Os extratos informam "parcelas pagas: 0" e contrato "encerrado por término do vínculo". Assim, não há, por ora, desconto vincendo certo a limitar, razão pela qual a tutela requerida é preventiva: que a Ré se abstenha de reter, descontar ou cobrar valor superior à prestação revisada de R$ 317,24 por parcela e de negativar o nome da Autora quanto ao contrato impugnado, até o julgamento da lide, sob pena de multa diária de R$ 500,00 (quinhentos reais). </w:t>
      </w:r>
      <w:r>
        <w:rPr>
          <w:b w:val="0"/>
          <w:i w:val="0"/>
          <w:highlight w:val="yellow"/>
        </w:rPr>
        <w:t>[PREENCHER: confirmar com a cliente se há descontos em curso, retenção na verba rescisória ou cobrança direta; se houver parcelas vincendas, ajustar o pedido.]</w:t>
      </w:r>
    </w:p>
    <w:p>
      <w:pPr>
        <w:spacing w:after="160"/>
        <w:jc w:val="center"/>
      </w:pPr>
      <w:r>
        <w:rPr>
          <w:b/>
          <w:i w:val="0"/>
        </w:rPr>
        <w:t>SEÇÃO IV — DOS DANOS</w:t>
      </w:r>
    </w:p>
    <w:p>
      <w:pPr>
        <w:spacing w:after="160"/>
        <w:jc w:val="left"/>
      </w:pPr>
      <w:r>
        <w:rPr>
          <w:b/>
          <w:i w:val="0"/>
        </w:rPr>
        <w:t>1. Danos materiais — repetição do indébito em dobro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O excesso cobrado, apurado na Memória de Cálculo na hipótese de pagamento integral das 12 parcelas, é de R$ 1.512,01 (R$ 1.515,84 com correção monetária pelo IPCA), que, em dobro, perfaz R$ 3.031,69. A restituição em dobro independe de má-fé, bastando que a cobrança contrarie a boa-fé objetiva (STJ, Corte Especial, EAREsp 676.608/RS, Rel. Min. Og Fernandes, j. 21/10/2020; art. 42, parágrafo único, do CDC).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Como o extrato informa que não houve parcelas pagas, a condenação à repetição deve alcançar os valores que forem efetivamente pagos, retidos ou compensados, a apurar em liquidação, estimados em até R$ 3.031,69 (dobro) e, quanto às parcelas não pagas, o excesso deve ser abatido do saldo devedor, com compensação (art. 368 do CC), fixando-se como valor incontroverso da dívida o de R$ 3.806,87 (12 x R$ 317,24), sem encargos moratórios sobre o excesso.</w:t>
      </w:r>
    </w:p>
    <w:p>
      <w:pPr>
        <w:spacing w:after="160"/>
        <w:jc w:val="left"/>
      </w:pPr>
      <w:r>
        <w:rPr>
          <w:b/>
          <w:i w:val="0"/>
        </w:rPr>
        <w:t>2. Do dano moral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 xml:space="preserve">A cobrança de encargos superiores aos devidos e não discriminados, incidente sobre a verba rescisória dada em garantia (natureza alimentar), a trabalhadora desempregada em situação de hipossuficiência, ultrapassa o mero dissabor, atingindo o mínimo existencial (arts. 1.º, III, e 7.º, IV e X, CF/88), além do tempo útil despendido para a solução do problema (desvio produtivo). Adotado o método bifásico, requer-se a fixação da indenização em R$ 10.000,00 (dez mil reais). </w:t>
      </w:r>
      <w:r>
        <w:rPr>
          <w:b w:val="0"/>
          <w:i w:val="0"/>
          <w:highlight w:val="yellow"/>
        </w:rPr>
        <w:t>[PREENCHER/AVALIAR: dada a ausência de pagamento comprovado, o advogado deve avaliar a manutenção do dano moral neste valor.]</w:t>
      </w:r>
    </w:p>
    <w:p>
      <w:pPr>
        <w:spacing w:after="160"/>
        <w:jc w:val="center"/>
      </w:pPr>
      <w:r>
        <w:rPr>
          <w:b/>
          <w:i w:val="0"/>
        </w:rPr>
        <w:t>SEÇÃO V — DOS PEDIDOS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Ante todo o exposto, requer-se a Vossa Excelência: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a) a concessão dos benefícios da gratuidade da justiça, nos termos dos arts. 98 e 99 do CPC;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b) a não designação de audiência de conciliação e mediação (art. 334, §5.º, CPC);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c) a concessão de TUTELA DE URGÊNCIA para determinar que a Ré se abstenha de reter, descontar ou cobrar, a título do contrato n.º 000592391780, valor superior à prestação revisada de R$ 317,24, e de inscrever o nome da Autora em cadastros de inadimplentes quanto ao contrato, sob pena de multa diária de R$ 500,00;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d) a inversão do ônus da prova (art. 6.º, VIII, CDC) e a determinação de EXIBIÇÃO, pela Ré, de cópia integral do contrato, do demonstrativo do valor liberado e dos encargos (IOF, tarifas e seguros), da planilha de evolução da dívida e dos registros de eventuais descontos, nos termos dos arts. 396 a 400 do CPC;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e) a citação da Ré para, querendo, contestar, sob pena de revelia (art. 344, CPC);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f) a declaração de abusividade dos encargos cobrados no contrato n.º 000592391780 (taxa efetiva de 13,26% a.m., CET de 10,16% a.m. e taxa informada de 9,59% a.m.) e a revisão do contrato, com readequação dos encargos à taxa média divulgada pelo BACEN para a modalidade e período, pelo Sistema Francês de Amortização, vedada a capitalização em taxa superior à média, fixando-se a prestação em R$ 317,24 e o valor incontroverso em R$ 3.806,87;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g) a declaração de nulidade das cláusulas abusivas do contrato, na parte em que exorbitem os limites acima, nos termos do art. 51, IV e §1.º, III, do CDC;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h) a condenação da Ré à repetição do indébito em dobro dos valores pagos, retidos ou compensados a maior, a apurar em liquidação, estimados em R$ 3.031,69 (na hipótese de pagamento integral das 12 parcelas), com correção monetária desde cada desembolso e juros de mora desde a citação; e, quanto aos valores ainda não pagos, a compensação do excesso no saldo devedor;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i) a condenação da Ré ao pagamento de indenização por dano moral no valor de R$ 10.000,00 (dez mil reais);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j) a condenação da Ré em custas e honorários advocatícios de 20% sobre o valor da condenação (art. 85, §2.º, CPC);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k) a produção de todas as provas em direito admitidas, em especial a documental e a pericial contábil.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Dá-se à causa o valor de R$ 13.031,69 (treze mil, trinta e um reais e sessenta e nove centavos), correspondente à repetição em dobro estimada (R$ 3.031,69) e ao dano moral (R$ 10.000,00).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Nestes termos,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Pede deferimento.</w:t>
      </w:r>
    </w:p>
    <w:p>
      <w:pPr>
        <w:spacing w:after="160"/>
        <w:jc w:val="left"/>
      </w:pPr>
      <w:r>
        <w:rPr>
          <w:b w:val="0"/>
          <w:i w:val="0"/>
        </w:rPr>
        <w:t>Salvador/BA, 7 de outubro de 2026.</w:t>
      </w:r>
    </w:p>
    <w:p>
      <w:pPr>
        <w:spacing w:after="160"/>
        <w:jc w:val="center"/>
      </w:pPr>
      <w:r>
        <w:rPr>
          <w:b w:val="0"/>
          <w:i w:val="0"/>
        </w:rPr>
        <w:t>_______________________________</w:t>
      </w:r>
    </w:p>
    <w:p>
      <w:pPr>
        <w:spacing w:after="160"/>
        <w:jc w:val="center"/>
      </w:pPr>
      <w:r>
        <w:rPr>
          <w:b/>
          <w:i w:val="0"/>
        </w:rPr>
        <w:t>CLEYTON DA SILVA BARBOSA - OAB/BA 92.148</w:t>
      </w:r>
    </w:p>
    <w:p>
      <w:r>
        <w:br w:type="page"/>
      </w:r>
    </w:p>
    <w:p>
      <w:pPr>
        <w:spacing w:after="160"/>
        <w:jc w:val="center"/>
      </w:pPr>
      <w:r>
        <w:rPr>
          <w:b/>
          <w:i w:val="0"/>
        </w:rPr>
        <w:t>DOCUMENTOS A JUNTAR</w:t>
      </w:r>
    </w:p>
    <w:p>
      <w:pPr>
        <w:spacing w:after="160"/>
        <w:jc w:val="left"/>
      </w:pPr>
      <w:r>
        <w:rPr>
          <w:b w:val="0"/>
          <w:i w:val="0"/>
        </w:rPr>
        <w:t>Doc. 01 — Procuração e declaração de hipossuficiência (assinadas em 11/08/2026);</w:t>
      </w:r>
    </w:p>
    <w:p>
      <w:pPr>
        <w:spacing w:after="160"/>
        <w:jc w:val="left"/>
      </w:pPr>
      <w:r>
        <w:rPr>
          <w:b w:val="0"/>
          <w:i w:val="0"/>
        </w:rPr>
        <w:t>Doc. 02 — RG e CPF da Autora;</w:t>
      </w:r>
    </w:p>
    <w:p>
      <w:pPr>
        <w:spacing w:after="160"/>
        <w:jc w:val="left"/>
      </w:pPr>
      <w:r>
        <w:rPr>
          <w:b w:val="0"/>
          <w:i w:val="0"/>
        </w:rPr>
        <w:t>Doc. 03 — Comprovante/declaração de residência;</w:t>
      </w:r>
    </w:p>
    <w:p>
      <w:pPr>
        <w:spacing w:after="160"/>
        <w:jc w:val="left"/>
      </w:pPr>
      <w:r>
        <w:rPr>
          <w:b w:val="0"/>
          <w:i w:val="0"/>
        </w:rPr>
        <w:t>Doc. 04 — Extrato (captura de tela do aplicativo) do contrato n.º 000592391780 — Banco Mercantil do Brasil S.A.;</w:t>
      </w:r>
    </w:p>
    <w:p>
      <w:pPr>
        <w:spacing w:after="160"/>
        <w:jc w:val="left"/>
      </w:pPr>
      <w:r>
        <w:rPr>
          <w:b w:val="0"/>
          <w:i w:val="0"/>
        </w:rPr>
        <w:t>Doc. 05 — Memória de Cálculo (Laudo de Cálculo Revisional) e série histórica da taxa média do BACEN;</w:t>
      </w:r>
    </w:p>
    <w:p>
      <w:pPr>
        <w:spacing w:after="160"/>
        <w:jc w:val="left"/>
      </w:pPr>
      <w:r>
        <w:rPr>
          <w:b w:val="0"/>
          <w:i w:val="0"/>
        </w:rPr>
        <w:t xml:space="preserve">Doc. 06 — </w:t>
      </w:r>
      <w:r>
        <w:rPr>
          <w:b w:val="0"/>
          <w:i w:val="0"/>
          <w:highlight w:val="yellow"/>
        </w:rPr>
        <w:t>[PREENCHER: holerites, TRCT e extratos bancários, se houver, para comprovar vínculo, rescisão e eventuais descontos]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