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/>
        <w:jc w:val="left"/>
      </w:pPr>
      <w:r>
        <w:rPr>
          <w:b/>
          <w:i w:val="0"/>
        </w:rPr>
        <w:t xml:space="preserve">EXCELENTÍSSIMO(A) SENHOR(A) DOUTOR(A) JUIZ(A) DE DIREITO DA </w:t>
      </w:r>
      <w:r>
        <w:rPr>
          <w:b/>
          <w:i w:val="0"/>
          <w:highlight w:val="yellow"/>
        </w:rPr>
        <w:t>___ª</w:t>
      </w:r>
      <w:r>
        <w:rPr>
          <w:b/>
          <w:i w:val="0"/>
        </w:rPr>
        <w:t xml:space="preserve"> VARA CÍVEL DA COMARCA DE SALVADOR/BA</w:t>
      </w:r>
    </w:p>
    <w:p>
      <w:pPr>
        <w:spacing w:after="160" w:line="360" w:lineRule="auto"/>
        <w:jc w:val="left"/>
      </w:pPr>
      <w:r>
        <w:rPr>
          <w:b w:val="0"/>
          <w:i w:val="0"/>
          <w:sz w:val="20"/>
          <w:highlight w:val="yellow"/>
        </w:rPr>
        <w:t>CONFERIR FORO: o autor é domiciliado em Camaçari/BA; a cláusula de foro do contrato (São Paulo/SP) é impugnada nesta peça. O art. 101, I, do CDC autoriza o ajuizamento no foro do domicílio do consumidor.</w:t>
      </w:r>
    </w:p>
    <w:p>
      <w:pPr>
        <w:spacing w:after="160" w:line="360" w:lineRule="auto"/>
        <w:jc w:val="both"/>
      </w:pPr>
      <w:r>
        <w:rPr>
          <w:b/>
          <w:i w:val="0"/>
        </w:rPr>
        <w:t>EMENTA: DIREITO DO CONSUMIDOR E DIREITO BANCÁRIO. AÇÃO REVISIONAL DE CÉDULA DE CRÉDITO BANCÁRIO DE EMPRÉSTIMO PESSOAL CONSIGNADO PRIVADO (TRABALHADOR CELETISTA), COM DESCONTO DIRETO EM FOLHA DE PAGAMENTO. TAXA PACTUADA DE 4,49% a.m. (CET DE 4,68% a.m. — 73,07% a.a.) EM CONFRONTO COM A TAXA MÉDIA DIVULGADA PELO BANCO CENTRAL PARA A MODALIDADE DE CONSIGNADO PRIVADO. OPERAÇÃO COM DESCONTO NA FONTE E RISCO DE CRÉDITO REDUZIDO. TEMA 1378/STJ: ABUSIVIDADE AFERIDA PELO CONJUNTO DAS CIRCUNSTÂNCIAS CONCRETAS. FLUXO DE PAGAMENTOS INCONSISTENTE E FALTA DE TRANSPARÊNCIA (ARTS. 6.º, III, 46 E 52 DO CDC). DESPESAS DE COBRANÇA E CLÁUSULA DE FORO ABUSIVAS. EXIBIÇÃO DE PLANILHA DE CÁLCULO. REPETIÇÃO DO INDÉBITO EM DOBRO (EAREsp 676.608/RS). DANO MORAL. TUTELA DE URGÊNCIA.</w:t>
      </w:r>
    </w:p>
    <w:p>
      <w:pPr>
        <w:spacing w:after="160" w:line="360" w:lineRule="auto"/>
        <w:jc w:val="both"/>
      </w:pPr>
      <w:r>
        <w:rPr>
          <w:b w:val="0"/>
          <w:i/>
          <w:sz w:val="20"/>
        </w:rPr>
        <w:t>Consulta pública da taxa média de juros — Banco Central do Brasil: www3.bcb.gov.br/sgspub/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ANTONIO CARLOS DOS SANTOS GOMES, brasileiro, solteiro, motorista, empregado sob o regime da Consolidação das Leis do Trabalho, portador do RG n.º 715235370 SSP/BA, inscrito no CPF sob o n.º 927.398.575-00, sem endereço eletrônico, residente e domiciliado na Travessa Emiliano Zapata, 2A, 19B, Nova Vitória, Camaçari/BA, CEP 42802-411, vem, respeitosamente, por seu advogado infra-assinado (procuração anexa), à presença de Vossa Excelência, com fundamento nos arts. 1.º, III, 5.º, XXXII, e 170, V, da Constituição Federal, na Lei n.º 8.078/90 e no Código de Processo Civil, propor a presente</w:t>
      </w:r>
    </w:p>
    <w:p>
      <w:pPr>
        <w:spacing w:after="160" w:line="360" w:lineRule="auto"/>
        <w:jc w:val="center"/>
      </w:pPr>
      <w:r>
        <w:rPr>
          <w:b/>
          <w:i w:val="0"/>
        </w:rPr>
        <w:t>AÇÃO REVISIONAL DE CONTRATO C/C REPETIÇÃO DE INDÉBITO, EXIBIÇÃO DE DOCUMENTOS, TUTELA DE URGÊNCIA E INDENIZAÇÃO POR DANOS MATERIAIS E MORAIS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em face de BMP SOCIEDADE DE CRÉDITO DIRETO S.A., pessoa jurídica de direito privado, inscrita no CNPJ sob o n.º 34.337.707/0001-00, com sede na Av. Paulista, 1765, 1º andar, CEP 01311-200, São Paulo/SP, e-mail para intimações desconhecido, pelos fatos e fundamentos jurídicos a seguir articulados:</w:t>
      </w:r>
    </w:p>
    <w:p>
      <w:pPr>
        <w:spacing w:after="160" w:line="360" w:lineRule="auto"/>
        <w:jc w:val="left"/>
      </w:pPr>
      <w:r>
        <w:rPr>
          <w:b/>
          <w:i w:val="0"/>
        </w:rPr>
        <w:t>SEÇÃO I — DAS QUESTÕES PRELIMINARES</w:t>
      </w:r>
    </w:p>
    <w:p>
      <w:pPr>
        <w:spacing w:after="160" w:line="360" w:lineRule="auto"/>
        <w:jc w:val="left"/>
      </w:pPr>
      <w:r>
        <w:rPr>
          <w:b/>
          <w:i w:val="0"/>
        </w:rPr>
        <w:t>1. Da gratuidade da justiça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parte Autora é trabalhador assalariado, motorista, cuja renda — precisamente a renda que a Ré vem comprometendo com os encargos adiante demonstrados — não comporta o pagamento de custas processuais e honorários advocatícios sem sacrifício do sustento próprio e familiar. Requer-se a concessão da gratuidade da justiça, na forma dos arts. 98 e seguintes do Código de Processo Civil, conforme declaração de hipossuficiência anexa.</w:t>
      </w:r>
    </w:p>
    <w:p>
      <w:pPr>
        <w:spacing w:after="160" w:line="360" w:lineRule="auto"/>
        <w:jc w:val="left"/>
      </w:pPr>
      <w:r>
        <w:rPr>
          <w:b/>
          <w:i w:val="0"/>
        </w:rPr>
        <w:t>2. Do desinteresse na audiência de conciliação e mediação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parte Autora manifesta, desde logo, desinteresse na designação da audiência do art. 334 do CPC (§ 5.º), em prestígio à razoável duração do processo (art. 5.º, LXXVIII, CF/88), sem prejuízo de eventual proposta de acordo a qualquer tempo.</w:t>
      </w:r>
    </w:p>
    <w:p>
      <w:pPr>
        <w:spacing w:after="160" w:line="360" w:lineRule="auto"/>
        <w:jc w:val="left"/>
      </w:pPr>
      <w:r>
        <w:rPr>
          <w:b/>
          <w:i w:val="0"/>
        </w:rPr>
        <w:t>3. Do julgamento antecipado do mérito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controvérsia é, em grande medida, documental: de um lado, a Cédula de Crédito Bancário com suas taxas e cláusulas; de outro, as séries históricas oficiais do Banco Central do Brasil, dado público e de consulta universal. Requer-se o julgamento antecipado do mérito (art. 355, I, do CPC), ressalvada a exibição documental e, se necessária, a prova pericial contábil requeridas adiante.</w:t>
      </w:r>
    </w:p>
    <w:p>
      <w:pPr>
        <w:spacing w:after="160" w:line="360" w:lineRule="auto"/>
        <w:jc w:val="left"/>
      </w:pPr>
      <w:r>
        <w:rPr>
          <w:b/>
          <w:i w:val="0"/>
        </w:rPr>
        <w:t>SEÇÃO II — DOS FATOS</w:t>
      </w:r>
    </w:p>
    <w:p>
      <w:pPr>
        <w:spacing w:after="160" w:line="360" w:lineRule="auto"/>
        <w:jc w:val="left"/>
      </w:pPr>
      <w:r>
        <w:rPr>
          <w:b/>
          <w:i w:val="0"/>
        </w:rPr>
        <w:t>1. Da contratação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parte Autora, empregado da empresa Rio Negro Transportes Ltda. (CNPJ 03.064.830/0001-70) desde 01/11/2019, na função de motorista, contratou com a Ré, por intermédio da correspondente Crefaz Sociedade de Crédito ao Microempreendedor e à Empresa (CNPJ 18.188.384/0001-83), a Cédula de Crédito Bancário n.º 94686879, de “empréstimo pessoal consignado privado”, emitida em 08/05/2026, com cobrança por desconto direto em folha de pagamento. O contrato foi celebrado por meio eletrônico, em instrumento de adesão.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/>
                <w:sz w:val="22"/>
              </w:rPr>
              <w:t>ITEM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/>
                <w:sz w:val="22"/>
              </w:rPr>
              <w:t>CONTRATO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Cédula de Crédito Bancário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n.º 94686879 (BMP SCD)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Emissão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08/05/2026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Valor líquido liberado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R$ 3.765,95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IOF financiado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R$ 123,70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Principal (base de amortização)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R$ 3.889,65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Prazo / parcelas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48 parcelas mensais de R$ 212,63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Vencimentos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23/07/2026 a 23/06/2030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Taxa de juros pactuada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4,49% a.m. / 69,39% a.a.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CET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4,68% a.m. / 73,07% a.a.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Valor total devido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R$ 10.206,24</w:t>
            </w:r>
          </w:p>
        </w:tc>
      </w:tr>
    </w:tbl>
    <w:p/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 xml:space="preserve">Isto é, a parte Autora recebeu R$ 3.765,95 e se obrigou a pagar R$ 10.206,24 — mais de 2,7 vezes o capital líquido recebido —, o que corresponde a R$ 6.440,29 de juros e encargos (171,01% sobre o valor líquido). As parcelas vêm sendo descontadas diretamente em folha, conforme contracheque anexo (rubrica “Desc. Emp. Cred. Trab. n.º 94686879”, no valor de R$ 212,63). </w:t>
      </w:r>
      <w:r>
        <w:rPr>
          <w:b w:val="0"/>
          <w:i w:val="0"/>
          <w:highlight w:val="yellow"/>
        </w:rPr>
        <w:t>CONFERIR: o contracheque de junho/2026 já registra o desconto da parcela de R$ 212,63, embora a 1.ª parcela vença em 23/07/2026; reunir os contracheques de jul. a set./2026 e o extrato de consignações para confirmar as parcelas efetivamente descontadas.</w:t>
      </w:r>
    </w:p>
    <w:p>
      <w:pPr>
        <w:spacing w:after="160" w:line="360" w:lineRule="auto"/>
        <w:jc w:val="left"/>
      </w:pPr>
      <w:r>
        <w:rPr>
          <w:b/>
          <w:i w:val="0"/>
        </w:rPr>
        <w:t>2. Da comparação com a taxa média de mercado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 xml:space="preserve">A taxa pactuada (4,49% a.m.) não pode ser avaliada isoladamente. A modalidade contratada é a de crédito consignado, com desconto direto em folha, na qual o risco de inadimplência é substancialmente menor que o do crédito pessoal comum. Nessa modalidade, a taxa média divulgada pelo Banco Central do Brasil para a competência da contratação (maio/2026) foi de </w:t>
      </w:r>
      <w:r>
        <w:rPr>
          <w:b w:val="0"/>
          <w:i w:val="0"/>
          <w:highlight w:val="yellow"/>
        </w:rPr>
        <w:t>3,12% a.m. — CONFERIR a série e a nomenclatura oficiais no SGS/BACEN antes do protocolo</w:t>
      </w:r>
      <w:r>
        <w:rPr>
          <w:b w:val="0"/>
          <w:i w:val="0"/>
        </w:rPr>
        <w:t>. Em contraste, a taxa pactuada corresponde a 1,44 vez a taxa média da modalidade: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2"/>
              </w:rPr>
              <w:t>PARÂMETRO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2"/>
              </w:rPr>
              <w:t>CONTRATO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2"/>
              </w:rPr>
              <w:t>MERCADO (BACEN, consignado privado)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Taxa mensal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4,49% a.m. (CET 4,68%)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[[3,12% a.m. (a conferir)]]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Valor da prestação (48x sobre R$ 3.889,65)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R$ 212,63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R$ 157,37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Proporção sobre a média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1,44 vez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1,00 (referencial)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Excesso mensal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R$ 55,26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Excesso nominal nas 48 parcelas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R$ 2.652,46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parte Autora registra, por lealdade, que a taxa pactuada é inferior à taxa média divulgada pelo Banco Central para o crédito pessoal não consignado, modalidade que não é a contratada, e que a série adequada à operação é a do consignado privado. A definição da modalidade de referência é, portanto, questão a ser dirimida nos autos, inclusive por perícia contábil se necessário.</w:t>
      </w:r>
    </w:p>
    <w:p>
      <w:pPr>
        <w:spacing w:after="160" w:line="360" w:lineRule="auto"/>
        <w:jc w:val="left"/>
      </w:pPr>
      <w:r>
        <w:rPr>
          <w:b/>
          <w:i w:val="0"/>
        </w:rPr>
        <w:t>3. Da anatomia da operação: desconto na fonte sobre verba alimentar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O elemento que singulariza a operação é sua arquitetura: o pagamento ocorre mediante desconto direto e automático sobre a remuneração do trabalhador, verba de natureza alimentar, de modo que a Ré não corre o risco de inadimplência do crédito pessoal comum. O trabalhador não escolhe pagar: a parcela é subtraída da folha antes mesmo de lhe chegar às mãos. Ademais, o contrato prevê o desconto de até 35% da verba rescisória (cláusula 3.16) e garantia sobre o FGTS (cláusula 3.17), reforçando a blindagem do crédito.</w:t>
      </w:r>
    </w:p>
    <w:p>
      <w:pPr>
        <w:spacing w:after="160" w:line="360" w:lineRule="auto"/>
        <w:jc w:val="left"/>
      </w:pPr>
      <w:r>
        <w:rPr>
          <w:b/>
          <w:i w:val="0"/>
        </w:rPr>
        <w:t>SEÇÃO III — DO DIREITO</w:t>
      </w:r>
    </w:p>
    <w:p>
      <w:pPr>
        <w:spacing w:after="160" w:line="360" w:lineRule="auto"/>
        <w:jc w:val="left"/>
      </w:pPr>
      <w:r>
        <w:rPr>
          <w:b/>
          <w:i w:val="0"/>
        </w:rPr>
        <w:t>1. Da aplicação do Código de Defesa do Consumidor às instituições financeiras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O Código de Defesa do Consumidor aplica-se às instituições financeiras, conforme a Súmula 297/STJ e o julgamento da ADI 2.591 pelo Supremo Tribunal Federal. Incidem, assim, o princípio da vulnerabilidade (art. 4.º, I), o dever de informação clara, adequada e ostensiva (arts. 6.º, III, 31, 46 e 52), a nulidade de pleno direito das cláusulas abusivas (art. 51, IV e § 1.º, III), a vedação à vantagem manifestamente excessiva (art. 39, V) e a responsabilidade objetiva do fornecedor (art. 14).</w:t>
      </w:r>
    </w:p>
    <w:p>
      <w:pPr>
        <w:spacing w:after="160" w:line="360" w:lineRule="auto"/>
        <w:jc w:val="both"/>
      </w:pPr>
      <w:r>
        <w:rPr>
          <w:b w:val="0"/>
          <w:i/>
        </w:rPr>
        <w:t>“O Código de Defesa do Consumidor é aplicável às instituições financeiras.” (Súmula 297/STJ)</w:t>
      </w:r>
    </w:p>
    <w:p>
      <w:pPr>
        <w:spacing w:after="160" w:line="360" w:lineRule="auto"/>
        <w:jc w:val="left"/>
      </w:pPr>
      <w:r>
        <w:rPr>
          <w:b/>
          <w:i w:val="0"/>
        </w:rPr>
        <w:t>2. Do dever de informação e da falta de transparência do fluxo de pagamentos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validade do consentimento pressupõe informação adequada. O art. 46 do CDC determina que os contratos não obrigam o consumidor se redigidos de modo a dificultar a compreensão de seu sentido e alcance, e o art. 52 exige informação prévia e adequada sobre o custo total do crédito.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No caso, o item VII da cédula (“Fluxo de Pagamentos”) prevê colunas de “valor de principal” e “valor de juros”, mas apresenta apenas um valor por parcela (por exemplo, R$ 37,82 na 1.ª parcela e R$ 203,67 na 48.ª), sem a coluna de juros preenchida. A soma dos 48 valores informados é de R$ 4.442,17, que não coincide com o principal financiado (R$ 3.889,65) nem com o total de juros do contrato (R$ 6.316,59 sobre o principal). A decomposição da parcela entre principal e juros é, portanto, ilegível e inconsistente no próprio instrumento, o que impede o consumidor de aferir a evolução do saldo devedor e a incidência efetiva dos encargos. Trata-se de falha de transparência que, por si só, justifica a exibição da planilha de cálculo, prevista nas cláusulas 6.2 e 7.1 da própria cédula, e a revisão do contrato.</w:t>
      </w:r>
    </w:p>
    <w:p>
      <w:pPr>
        <w:spacing w:after="160" w:line="360" w:lineRule="auto"/>
        <w:jc w:val="left"/>
      </w:pPr>
      <w:r>
        <w:rPr>
          <w:b/>
          <w:i w:val="0"/>
        </w:rPr>
        <w:t>3. Das práticas abusivas — art. 39, IV e V, do CDC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O art. 39 do CDC veda ao fornecedor prevalecer-se da fraqueza ou ignorância do consumidor, tendo em vista sua condição social, para impingir-lhe seus serviços (inciso IV), e exigir do consumidor vantagem manifestamente excessiva (inciso V). O contrato foi celebrado de forma eletrônica, por adesão, por trabalhador de renda modesta, sem espaço de negociação, com encargos que, embora inferiores à média do crédito pessoal comum, superam em 44% a taxa média da modalidade consignada, a qual, por sua natureza, tem risco reduzido.</w:t>
      </w:r>
    </w:p>
    <w:p>
      <w:pPr>
        <w:spacing w:after="160" w:line="360" w:lineRule="auto"/>
        <w:jc w:val="left"/>
      </w:pPr>
      <w:r>
        <w:rPr>
          <w:b/>
          <w:i w:val="0"/>
        </w:rPr>
        <w:t>4. Da abusividade dos juros remuneratórios — Tema 27 e Tema 1378 do STJ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O REsp 1.061.530/RS (Tema 27/STJ, recurso repetitivo) admite a revisão dos juros remuneratórios quando caracterizada a relação de consumo e demonstrada a abusividade capaz de colocar o consumidor em desvantagem exagerada (art. 51, § 1.º, CDC), tomando a taxa média de mercado divulgada pelo Banco Central como referencial. A taxa média, porém, deve ser a da modalidade efetivamente contratada, e a Súmula 530/STJ confirma que a taxa média de mercado “praticada nas operações da mesma espécie” é o parâmetro de referência.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Segunda Seção do STJ afetou ao rito dos recursos repetitivos o Tema 1378 (Rel. Min. Antonio Carlos Ferreira), para definir a suficiência ou não da taxa média de mercado como fundamento exclusivo para aferição da abusividade dos juros remuneratórios. A afetação suspende os recursos especiais sobre a matéria, mas não as ações em primeiro grau.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 xml:space="preserve">Reconhece-se que a taxa pactuada (1,44 vez a média da modalidade de consignado privado, segundo a série adotada </w:t>
      </w:r>
      <w:r>
        <w:rPr>
          <w:b w:val="0"/>
          <w:i w:val="0"/>
          <w:highlight w:val="yellow"/>
        </w:rPr>
        <w:t>a conferir</w:t>
      </w:r>
      <w:r>
        <w:rPr>
          <w:b w:val="0"/>
          <w:i w:val="0"/>
        </w:rPr>
        <w:t>) situa-se abaixo da régua de 1,5 vez e, portanto, em zona de incerteza jurisprudencial: não se invoca presunção objetiva de abusividade pelo critério de 1,5 vez, mas se sustenta que a desvantagem exagerada decorre do conjunto das circunstâncias concretas da contratação, notadamente: (i) operação de consignado com desconto direto em folha, de risco de crédito reduzido; (ii) incidência sobre verba alimentar de trabalhador de renda modesta; (iii) contrato de adesão eletrônico, com fluxo de pagamentos ilegível e inconsistente, que viola o dever de transparência; (iv) cláusulas acessórias onerosas, como as despesas de cobrança de até 10% e a cláusula de foro, impugnadas adiante. É precisamente essa análise do caso concreto que a corrente mais exigente do Tema 1378 reclama. Qualquer que seja a tese fixada, a causa comporta apreciação pelas suas circunstâncias, e a Ré, detentora dos dados de custo de captação, inadimplência da carteira e composição do spread, deve demonstrar a regularidade da taxa praticada (art. 6.º, VIII, CDC).</w:t>
      </w:r>
    </w:p>
    <w:p>
      <w:pPr>
        <w:spacing w:after="160" w:line="360" w:lineRule="auto"/>
        <w:jc w:val="left"/>
      </w:pPr>
      <w:r>
        <w:rPr>
          <w:b/>
          <w:i w:val="0"/>
        </w:rPr>
        <w:t>5. Da capitalização de juros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cédula prevê juros “diários e capitalizados” (cláusulas 1.1 e 1.7). A capitalização, em contratos bancários, somente é admitida quando expressamente pactuada (Súmula 541/STJ), e em ambiente consumerista a pactuação exige informação destacada, clara e compreensível, o que se impugna diante da ilegibilidade do fluxo de pagamentos. Subsidiariamente, requer-se que, para efeito do recálculo, os encargos sejam readequados à taxa média da modalidade, pelo Sistema Francês de Amortização, vedada a capitalização em taxa superior à média.</w:t>
      </w:r>
    </w:p>
    <w:p>
      <w:pPr>
        <w:spacing w:after="160" w:line="360" w:lineRule="auto"/>
        <w:jc w:val="left"/>
      </w:pPr>
      <w:r>
        <w:rPr>
          <w:b/>
          <w:i w:val="0"/>
        </w:rPr>
        <w:t>6. Das despesas de cobrança, da cláusula de foro e de outras cláusulas abusivas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O instrumento é contrato de adesão (art. 54, CDC). Impugnam-se, nos termos do art. 51, IV e § 1.º, do CDC, as seguintes cláusulas: (a) a cláusula 4.5, que autoriza a cobrança de despesas de cobrança administrativa de até 10% sobre o saldo devedor, sem discriminação de custo efetivo, em acréscimo à multa de 2% e aos juros de mora de 1% a.m., configurando cumulação indevida de encargos moratórios; (b) a cláusula de foro (cláusula 7.27), que elege a Comarca de São Paulo/SP com exclusão de qualquer outro, impondo ao consumidor residente em Camaçari/BA o ônus de litigar em localidade distante, em violação ao art. 101, I, do CDC; (c) a cláusula 7.22, que obriga o emitente a demandar apenas contra o endossatário e prevê consequências em caso de ação contra o credor original, restringindo o acesso à justiça (art. 5.º, XXXV, CF; art. 51, I e VII, CDC); (d) a cláusula 3.21, que impõe renúncia a depósitos; e (e) a cláusula 3.16, na parte em que autoriza o desconto de até 35% da verba rescisória, verba de natureza alimentar. Observa-se, ainda, que o quadro VI da cédula não marca a garantia do FGTS, embora a cláusula 3.17 a preveja, inconsistência que reforça a falta de clareza do instrumento.</w:t>
      </w:r>
    </w:p>
    <w:p>
      <w:pPr>
        <w:spacing w:after="160" w:line="360" w:lineRule="auto"/>
        <w:jc w:val="left"/>
      </w:pPr>
      <w:r>
        <w:rPr>
          <w:b/>
          <w:i w:val="0"/>
        </w:rPr>
        <w:t>7. Do seguro prestamista e da venda casada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 xml:space="preserve">O quadro VIII da cédula (seguro) encontra-se em branco, mas as condições gerais autorizam a contratação, em nome do emitente, de seguro prestamista. Caso se verifique a cobrança de prêmio de seguro não contratado de forma expressa e destacada, configurar-se-á venda casada (art. 39, I, do CDC), com direito à restituição em dobro. </w:t>
      </w:r>
      <w:r>
        <w:rPr>
          <w:b w:val="0"/>
          <w:i w:val="0"/>
          <w:highlight w:val="yellow"/>
        </w:rPr>
        <w:t>VERIFICAR nos contracheques e extratos se há cobrança de prêmio de seguro; se não houver, suprimir este item e o pedido correspondente.</w:t>
      </w:r>
      <w:r>
        <w:rPr>
          <w:b w:val="0"/>
          <w:i w:val="0"/>
        </w:rPr>
        <w:t xml:space="preserve"> Por ora, requer-se que a Ré informe e comprove se há seguro vinculado ao contrato.</w:t>
      </w:r>
    </w:p>
    <w:p>
      <w:pPr>
        <w:spacing w:after="160" w:line="360" w:lineRule="auto"/>
        <w:jc w:val="left"/>
      </w:pPr>
      <w:r>
        <w:rPr>
          <w:b/>
          <w:i w:val="0"/>
        </w:rPr>
        <w:t>8. Da inversão do ônus da prova e da exibição de documentos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A hipossuficiência técnica do autor frente à instituição financeira, detentora exclusiva da documentação e da contabilidade da operação, impõe a inversão do ônus da prova, nos termos do art. 6.º, VIII, do CDC. Requer-se, ainda, com fundamento nos arts. 396 e seguintes do CPC e nas cláusulas 6.2 e 7.1 da própria cédula, a exibição pela Ré da planilha de cálculo detalhada da operação, com a evolução do saldo devedor, a decomposição de cada parcela entre principal, juros e encargos, a íntegra dos instrumentos assinados (inclusive eventual seguro) e o comprovante do crédito do valor líquido em favor do autor.</w:t>
      </w:r>
    </w:p>
    <w:p>
      <w:pPr>
        <w:spacing w:after="160" w:line="360" w:lineRule="auto"/>
        <w:jc w:val="left"/>
      </w:pPr>
      <w:r>
        <w:rPr>
          <w:b/>
          <w:i w:val="0"/>
        </w:rPr>
        <w:t>9. Da tutela de urgência — art. 300 do CPC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 xml:space="preserve">A probabilidade do direito decorre do contrato e da divergência entre a taxa pactuada e a taxa média da modalidade, somada à inconsistência do fluxo de pagamentos. O perigo de dano reside na continuidade de descontos automáticos sobre verba alimentar, que não se reparam adequadamente depois. Requer-se, assim, tutela de urgência para limitar os descontos vincendos ao valor da prestação recalculada pela taxa média da modalidade (R$ 157,37 </w:t>
      </w:r>
      <w:r>
        <w:rPr>
          <w:b w:val="0"/>
          <w:i w:val="0"/>
          <w:highlight w:val="yellow"/>
        </w:rPr>
        <w:t>valor a conferir com a série do BACEN</w:t>
      </w:r>
      <w:r>
        <w:rPr>
          <w:b w:val="0"/>
          <w:i w:val="0"/>
        </w:rPr>
        <w:t>), ou, subsidiariamente, para determinar a consignação e o depósito do valor controvertido, sob pena de multa diária de R$ 500,00. Ressalva-se que, caso a série de referência definitiva resulte em taxa média superior à taxa pactuada, o pedido liminar perderá seu objeto, sem prejuízo dos demais pleitos.</w:t>
      </w:r>
    </w:p>
    <w:p>
      <w:pPr>
        <w:spacing w:after="160" w:line="360" w:lineRule="auto"/>
        <w:jc w:val="left"/>
      </w:pPr>
      <w:r>
        <w:rPr>
          <w:b/>
          <w:i w:val="0"/>
        </w:rPr>
        <w:t>SEÇÃO IV — DOS DANOS</w:t>
      </w:r>
    </w:p>
    <w:p>
      <w:pPr>
        <w:spacing w:after="160" w:line="360" w:lineRule="auto"/>
        <w:jc w:val="left"/>
      </w:pPr>
      <w:r>
        <w:rPr>
          <w:b/>
          <w:i w:val="0"/>
        </w:rPr>
        <w:t>1. Danos materiais — repetição do indébito em dobro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O excesso eventualmente apurado deve ser restituído em dobro, na forma do art. 42, parágrafo único, do CDC e da tese fixada pela Corte Especial do STJ no EAREsp 676.608/RS, segundo a qual a restituição em dobro independe da natureza do elemento volitivo do fornecedor, bastando que a cobrança contrarie a boa-fé objetiva.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Pela taxa média da modalidade (a conferir), o excesso por parcela é de R$ 55,26, ou R$ 2.652,46 nas 48 parcelas (R$ 5.304,56 em dobro). Considerando apenas as 3 parcelas já vencidas até 07/10/2026 (23/07, 23/08 e 23/09/2026 — a confirmar pelos contracheques), o excesso corrigido é de R$ 165,60, ou R$ 331,20 em dobro. Os valores são projeção a ser confirmada em liquidação e perícia, com correção monetária desde cada desconto (Súmula 43/STJ) e juros de mora desde a citação. O adimplemento das parcelas é premissa a comprovar por contracheques e extrato de consignações.</w:t>
      </w:r>
    </w:p>
    <w:p>
      <w:pPr>
        <w:spacing w:after="160" w:line="360" w:lineRule="auto"/>
        <w:jc w:val="left"/>
      </w:pPr>
      <w:r>
        <w:rPr>
          <w:b/>
          <w:i w:val="0"/>
        </w:rPr>
        <w:t>2. Do dano moral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>O dano moral decorre da imposição de encargos que oneram verba alimentar mediante desconto automático em contrato de adesão sem transparência, da frustração da boa-fé objetiva e do tempo desperdiçado para desfazer a situação (desvio produtivo do consumidor). Na quantificação, adota-se o método bifásico do STJ. Requer-se a fixação da indenização em R$ 10.000,00 (dez mil reais), patamar moderado, que compensa a vítima sem enriquecê-la e adverte a fornecedora sem confiscá-la.</w:t>
      </w:r>
    </w:p>
    <w:p>
      <w:pPr>
        <w:spacing w:after="160" w:line="360" w:lineRule="auto"/>
        <w:jc w:val="left"/>
      </w:pPr>
      <w:r>
        <w:rPr>
          <w:b/>
          <w:i w:val="0"/>
        </w:rPr>
        <w:t>SEÇÃO V — DOS PEDIDOS</w:t>
      </w:r>
    </w:p>
    <w:p>
      <w:pPr>
        <w:spacing w:after="160" w:line="360" w:lineRule="auto"/>
        <w:jc w:val="both"/>
      </w:pPr>
      <w:r>
        <w:rPr>
          <w:b w:val="0"/>
          <w:i w:val="0"/>
        </w:rPr>
        <w:t>Ante todo o exposto, requer-se a Vossa Excelência:</w:t>
      </w:r>
    </w:p>
    <w:p>
      <w:pPr>
        <w:spacing w:after="160" w:line="360" w:lineRule="auto"/>
        <w:jc w:val="both"/>
      </w:pPr>
      <w:r>
        <w:rPr>
          <w:b w:val="0"/>
          <w:i w:val="0"/>
        </w:rPr>
        <w:t>a) a concessão dos benefícios da gratuidade da justiça, nos termos dos arts. 98 e 99 do CPC;</w:t>
      </w:r>
    </w:p>
    <w:p>
      <w:pPr>
        <w:spacing w:after="160" w:line="360" w:lineRule="auto"/>
        <w:jc w:val="both"/>
      </w:pPr>
      <w:r>
        <w:rPr>
          <w:b w:val="0"/>
          <w:i w:val="0"/>
        </w:rPr>
        <w:t>b) a não designação de audiência de conciliação e mediação, ante o desinteresse da parte Autora (art. 334, § 5.º,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c) a concessão de TUTELA DE URGÊNCIA para limitar os descontos vincendos da CCB n.º 94686879 ao valor da prestação recalculada pela taxa média de mercado da modalidade (R$ 157,37, a conferir), sob pena de multa diária de R$ 500,00;</w:t>
      </w:r>
    </w:p>
    <w:p>
      <w:pPr>
        <w:spacing w:after="160" w:line="360" w:lineRule="auto"/>
        <w:jc w:val="both"/>
      </w:pPr>
      <w:r>
        <w:rPr>
          <w:b w:val="0"/>
          <w:i w:val="0"/>
        </w:rPr>
        <w:t>d) a inversão do ônus da prova (art. 6.º, VIII, CDC) e a determinação de que a Ré exiba, no prazo da contestação, a planilha de cálculo detalhada da operação, a evolução do saldo devedor, a íntegra dos instrumentos assinados (inclusive eventual seguro) e o comprovante do crédito do valor líquido;</w:t>
      </w:r>
    </w:p>
    <w:p>
      <w:pPr>
        <w:spacing w:after="160" w:line="360" w:lineRule="auto"/>
        <w:jc w:val="both"/>
      </w:pPr>
      <w:r>
        <w:rPr>
          <w:b w:val="0"/>
          <w:i w:val="0"/>
        </w:rPr>
        <w:t>e) a citação da Ré para, querendo, contestar, sob pena de revelia (art. 344,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f) a revisão do contrato, com a declaração de abusividade da taxa de juros pactuada (4,49% a.m. / CET 4,68% a.m.) em face das circunstâncias concretas da contratação, e a readequação dos encargos à taxa média de mercado divulgada pelo Banco Central para a modalidade e o período da contratação, pelo Sistema Francês de Amortização, vedada a capitalização em taxa superior à média;</w:t>
      </w:r>
    </w:p>
    <w:p>
      <w:pPr>
        <w:spacing w:after="160" w:line="360" w:lineRule="auto"/>
        <w:jc w:val="both"/>
      </w:pPr>
      <w:r>
        <w:rPr>
          <w:b w:val="0"/>
          <w:i w:val="0"/>
        </w:rPr>
        <w:t>g) a declaração de nulidade das cláusulas abusivas, em especial as cláusulas 4.5 (despesas de cobrança), 7.27 (foro), 7.22, 3.21 e 3.16 (na parte que alcança verba rescisória), nos termos do art. 51, IV e § 1.º, do CDC;</w:t>
      </w:r>
    </w:p>
    <w:p>
      <w:pPr>
        <w:spacing w:after="160" w:line="360" w:lineRule="auto"/>
        <w:jc w:val="both"/>
      </w:pPr>
      <w:r>
        <w:rPr>
          <w:b w:val="0"/>
          <w:i w:val="0"/>
        </w:rPr>
        <w:t>h) a condenação da Ré à repetição do indébito em dobro, a apurar em liquidação, estimado em R$ 331,20 relativos às três parcelas vencidas até 07/10/2026 e acrescido do excesso das parcelas descontadas ao longo do processo, nos termos do art. 42, parágrafo único, do CDC e do EAREsp 676.608/RS, com correção monetária desde cada desconto e juros de mora desde a citação;</w:t>
      </w:r>
    </w:p>
    <w:p>
      <w:pPr>
        <w:spacing w:after="160" w:line="360" w:lineRule="auto"/>
        <w:jc w:val="both"/>
      </w:pPr>
      <w:r>
        <w:rPr>
          <w:b w:val="0"/>
          <w:i w:val="0"/>
        </w:rPr>
        <w:t>i) caso se apure a cobrança de seguro prestamista não contratado de forma expressa, a declaração de sua inexistência e a restituição em dobro dos prêmios descontados;</w:t>
      </w:r>
    </w:p>
    <w:p>
      <w:pPr>
        <w:spacing w:after="160" w:line="360" w:lineRule="auto"/>
        <w:jc w:val="both"/>
      </w:pPr>
      <w:r>
        <w:rPr>
          <w:b w:val="0"/>
          <w:i w:val="0"/>
        </w:rPr>
        <w:t>j) a condenação da Ré ao pagamento de indenização por dano moral, no valor de R$ 10.000,00 (dez mil reais);</w:t>
      </w:r>
    </w:p>
    <w:p>
      <w:pPr>
        <w:spacing w:after="160" w:line="360" w:lineRule="auto"/>
        <w:jc w:val="both"/>
      </w:pPr>
      <w:r>
        <w:rPr>
          <w:b w:val="0"/>
          <w:i w:val="0"/>
        </w:rPr>
        <w:t>k) a condenação da Ré em custas processuais e honorários advocatícios, nos termos do art. 85, § 2.º, do CPC;</w:t>
      </w:r>
    </w:p>
    <w:p>
      <w:pPr>
        <w:spacing w:after="160" w:line="360" w:lineRule="auto"/>
        <w:jc w:val="both"/>
      </w:pPr>
      <w:r>
        <w:rPr>
          <w:b w:val="0"/>
          <w:i w:val="0"/>
        </w:rPr>
        <w:t>l) a produção de todas as provas em direito admitidas, em especial a documental, a pericial contábil e o depoimento pessoal do representante legal da Ré.</w:t>
      </w:r>
    </w:p>
    <w:p>
      <w:pPr>
        <w:spacing w:after="160" w:line="360" w:lineRule="auto"/>
        <w:ind w:firstLine="850"/>
        <w:jc w:val="both"/>
      </w:pPr>
      <w:r>
        <w:rPr>
          <w:b w:val="0"/>
          <w:i w:val="0"/>
        </w:rPr>
        <w:t xml:space="preserve">Dá-se à causa o valor de R$ 10.000,00 (dez mil reais), correspondente ao dano moral pleiteado, porquanto o laudo anexo (Memória de Cálculo, Doc.) não apura, pelo parâmetro principal, excesso a restituir, constando a repetição apurada pela taxa média da modalidade de consignado como estimativa em liquidação. </w:t>
      </w:r>
      <w:r>
        <w:rPr>
          <w:b w:val="0"/>
          <w:i w:val="0"/>
          <w:highlight w:val="yellow"/>
        </w:rPr>
        <w:t>ADVOGADO: avaliar se o valor da causa deve incluir a repetição em dobro estimada de R$ 5.304,56 (total R$ 15.304,56).</w:t>
      </w:r>
    </w:p>
    <w:p>
      <w:pPr>
        <w:spacing w:after="160" w:line="360" w:lineRule="auto"/>
        <w:jc w:val="both"/>
      </w:pPr>
      <w:r>
        <w:rPr>
          <w:b w:val="0"/>
          <w:i w:val="0"/>
        </w:rPr>
        <w:t>Nestes termos,</w:t>
      </w:r>
    </w:p>
    <w:p>
      <w:pPr>
        <w:spacing w:after="160" w:line="360" w:lineRule="auto"/>
        <w:jc w:val="both"/>
      </w:pPr>
      <w:r>
        <w:rPr>
          <w:b w:val="0"/>
          <w:i w:val="0"/>
        </w:rPr>
        <w:t>Pede deferimento.</w:t>
      </w:r>
    </w:p>
    <w:p>
      <w:pPr>
        <w:spacing w:after="160" w:line="360" w:lineRule="auto"/>
        <w:jc w:val="center"/>
      </w:pPr>
      <w:r>
        <w:rPr>
          <w:b w:val="0"/>
          <w:i w:val="0"/>
        </w:rPr>
        <w:t>Salvador/BA, 7 de outubro de 2026.</w:t>
      </w:r>
    </w:p>
    <w:p>
      <w:pPr>
        <w:spacing w:after="0" w:line="360" w:lineRule="auto"/>
        <w:jc w:val="center"/>
      </w:pPr>
      <w:r>
        <w:rPr>
          <w:b w:val="0"/>
          <w:i w:val="0"/>
        </w:rPr>
        <w:t>_______________________________________</w:t>
      </w:r>
    </w:p>
    <w:p>
      <w:pPr>
        <w:spacing w:after="160" w:line="360" w:lineRule="auto"/>
        <w:jc w:val="center"/>
      </w:pPr>
      <w:r>
        <w:rPr>
          <w:b/>
          <w:i w:val="0"/>
        </w:rPr>
        <w:t>CLEYTON DA SILVA BARBOSA - OAB/BA 92.148</w:t>
      </w:r>
    </w:p>
    <w:p>
      <w:pPr>
        <w:spacing w:after="160" w:line="360" w:lineRule="auto"/>
        <w:jc w:val="left"/>
      </w:pPr>
      <w:r>
        <w:rPr>
          <w:b/>
          <w:i w:val="0"/>
        </w:rPr>
        <w:t>DOCUMENTOS A JUNTAR</w:t>
      </w:r>
    </w:p>
    <w:p>
      <w:pPr>
        <w:spacing w:after="40" w:line="360" w:lineRule="auto"/>
        <w:jc w:val="left"/>
      </w:pPr>
      <w:r>
        <w:rPr>
          <w:b w:val="0"/>
          <w:i w:val="0"/>
        </w:rPr>
        <w:t>1. Procuração e declaração de hipossuficiência;</w:t>
      </w:r>
    </w:p>
    <w:p>
      <w:pPr>
        <w:spacing w:after="40" w:line="360" w:lineRule="auto"/>
        <w:jc w:val="left"/>
      </w:pPr>
      <w:r>
        <w:rPr>
          <w:b w:val="0"/>
          <w:i w:val="0"/>
        </w:rPr>
        <w:t>2. RG/CNH e CPF;</w:t>
      </w:r>
    </w:p>
    <w:p>
      <w:pPr>
        <w:spacing w:after="40" w:line="360" w:lineRule="auto"/>
        <w:jc w:val="left"/>
      </w:pPr>
      <w:r>
        <w:rPr>
          <w:b w:val="0"/>
          <w:i w:val="0"/>
        </w:rPr>
        <w:t>3. Comprovante de residência (conta Embasa, ref. 06/2026);</w:t>
      </w:r>
    </w:p>
    <w:p>
      <w:pPr>
        <w:spacing w:after="40" w:line="360" w:lineRule="auto"/>
        <w:jc w:val="left"/>
      </w:pPr>
      <w:r>
        <w:rPr>
          <w:b w:val="0"/>
          <w:i w:val="0"/>
        </w:rPr>
        <w:t>4. Cédula de Crédito Bancário n.º 94686879 (BMP SCD);</w:t>
      </w:r>
    </w:p>
    <w:p>
      <w:pPr>
        <w:spacing w:after="40" w:line="360" w:lineRule="auto"/>
        <w:jc w:val="left"/>
      </w:pPr>
      <w:r>
        <w:rPr>
          <w:b w:val="0"/>
          <w:i w:val="0"/>
        </w:rPr>
        <w:t xml:space="preserve">5. Contracheque (junho/2026) e demais contracheques/extrato de consignações </w:t>
      </w:r>
      <w:r>
        <w:rPr>
          <w:b w:val="0"/>
          <w:i w:val="0"/>
          <w:highlight w:val="yellow"/>
        </w:rPr>
        <w:t>a juntar</w:t>
      </w:r>
      <w:r>
        <w:rPr>
          <w:b w:val="0"/>
          <w:i w:val="0"/>
        </w:rPr>
        <w:t>;</w:t>
      </w:r>
    </w:p>
    <w:p>
      <w:pPr>
        <w:spacing w:after="40" w:line="360" w:lineRule="auto"/>
        <w:jc w:val="left"/>
      </w:pPr>
      <w:r>
        <w:rPr>
          <w:b w:val="0"/>
          <w:i w:val="0"/>
        </w:rPr>
        <w:t>6. Laudo/Memória de Cálculo (Doc.);</w:t>
      </w:r>
    </w:p>
    <w:p>
      <w:pPr>
        <w:spacing w:after="40" w:line="360" w:lineRule="auto"/>
        <w:jc w:val="left"/>
      </w:pPr>
      <w:r>
        <w:rPr>
          <w:b w:val="0"/>
          <w:i w:val="0"/>
        </w:rPr>
        <w:t xml:space="preserve">7. Extrato bancário do crédito (Banco Santander, ag. 3593-5, c/c 01090092-5) </w:t>
      </w:r>
      <w:r>
        <w:rPr>
          <w:b w:val="0"/>
          <w:i w:val="0"/>
          <w:highlight w:val="yellow"/>
        </w:rPr>
        <w:t>a juntar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