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60" w:lineRule="auto"/>
        <w:jc w:val="left"/>
      </w:pPr>
      <w:r>
        <w:rPr>
          <w:b/>
          <w:i w:val="0"/>
        </w:rPr>
        <w:t>EXCELENTÍSSIMO(A) SENHOR(A) DOUTOR(A) JUIZ(A) DE DIREITO DA ___ª VARA CÍVEL DA COMARCA DE SALVADOR/BA</w:t>
      </w:r>
    </w:p>
    <w:p>
      <w:pPr>
        <w:spacing w:after="120" w:line="360" w:lineRule="auto"/>
        <w:jc w:val="both"/>
      </w:pPr>
      <w:r>
        <w:rPr>
          <w:b/>
          <w:i w:val="0"/>
        </w:rPr>
        <w:t>EMENTA:</w:t>
      </w:r>
      <w:r>
        <w:rPr>
          <w:b w:val="0"/>
          <w:i w:val="0"/>
        </w:rPr>
        <w:t xml:space="preserve"> DIREITO DO CONSUMIDOR E DIREITO BANCÁRIO. AÇÃO REVISIONAL DE CONTRATO DE EMPRÉSTIMO CONSIGNADO PRIVADO (CLT), ORIGINADO DE CESSÃO DE CARTEIRA (UY3 SCD / BANCO DIGIMAIS). TAXA PACTUADA DE 4,99% a.m. (79,38% a.a.) EM CONFRONTO COM A TAXA MÉDIA DE MERCADO DE 3,44% a.m. DIVULGADA PELO BANCO CENTRAL DO BRASIL (1,45 VEZ A MÉDIA). OPERAÇÃO COM DESCONTO EM FOLHA, DE RISCO REDUZIDO. ABUSIVIDADE AFERIDA PELO CONJUNTO DAS CIRCUNSTÂNCIAS CONCRETAS (REsp 1.061.530/RS; TEMA 1378/STJ). FALTA DE TRANSPARÊNCIA: AUSÊNCIA DE CET E DIVERGÊNCIA DE R$ 426,23 ENTRE O "VALOR DA COMPRA" E O VALOR FINANCIADO LÍQUIDO. CAPITALIZAÇÃO SEM PACTUAÇÃO COMPROVADA (SÚMULAS 541/STJ E 121/STF). PEDIDO INCIDENTAL DE EXIBIÇÃO DA CCB ORIGINAL E DA PROVA DA CESSÃO (ARTS. 396 E SS. DO CPC). REPETIÇÃO DO INDÉBITO EM DOBRO (EAREsp 676.608/RS). TUTELA DE URGÊNCIA.</w:t>
      </w:r>
    </w:p>
    <w:p>
      <w:pPr>
        <w:spacing w:after="120" w:line="360" w:lineRule="auto"/>
        <w:jc w:val="both"/>
      </w:pPr>
      <w:r>
        <w:rPr>
          <w:b w:val="0"/>
          <w:i/>
        </w:rPr>
        <w:t>Consulta pública da taxa média de juros — Banco Central do Brasil: www3.bcb.gov.br/sgspub/</w:t>
      </w:r>
    </w:p>
    <w:p>
      <w:pPr>
        <w:spacing w:after="120" w:line="360" w:lineRule="auto"/>
        <w:ind w:firstLine="709"/>
        <w:jc w:val="both"/>
      </w:pPr>
      <w:r>
        <w:rPr>
          <w:b/>
          <w:i w:val="0"/>
        </w:rPr>
        <w:t>ANTONIO MAURÍCIO SOARES DA SILVA</w:t>
      </w:r>
      <w:r>
        <w:rPr>
          <w:b w:val="0"/>
          <w:i w:val="0"/>
        </w:rPr>
        <w:t xml:space="preserve">, brasileiro, </w:t>
      </w:r>
      <w:r>
        <w:rPr>
          <w:b/>
          <w:i w:val="0"/>
          <w:highlight w:val="yellow"/>
        </w:rPr>
        <w:t>[PREENCHER: estado civil]</w:t>
      </w:r>
      <w:r>
        <w:rPr>
          <w:b w:val="0"/>
          <w:i w:val="0"/>
        </w:rPr>
        <w:t>, motorista, empregado sob o regime da Consolidação das Leis do Trabalho, portador do RG n.º 888246242 SSP/BA, inscrito no CPF sob o n.º 981.094.645-72, residente e domiciliado na Rua do Gravatá, n.º 143, Alto da Cruz, Camaçari/BA, CEP 42803-117, vem, respeitosamente, por seu advogado infra-assinado (procuração anexa), à presença de Vossa Excelência, com fundamento nos arts. 1.º, III, 5.º, XXXII, e 170, V, da Constituição Federal, na Lei n.º 8.078/90 e no Código de Processo Civil, propor a presente</w:t>
      </w:r>
    </w:p>
    <w:p>
      <w:pPr>
        <w:spacing w:after="120" w:line="360" w:lineRule="auto"/>
        <w:jc w:val="center"/>
      </w:pPr>
      <w:r>
        <w:rPr>
          <w:b/>
          <w:i w:val="0"/>
        </w:rPr>
        <w:t>AÇÃO REVISIONAL DE CONTRATO C/C REPETIÇÃO DE INDÉBITO, EXIBIÇÃO INCIDENTAL DE DOCUMENTOS, TUTELA DE URGÊNCIA E INDENIZAÇÃO POR DANOS MATERIAIS E MORAIS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em face de </w:t>
      </w:r>
      <w:r>
        <w:rPr>
          <w:b/>
          <w:i w:val="0"/>
        </w:rPr>
        <w:t>BANCO DIGIMAIS S.A.</w:t>
      </w:r>
      <w:r>
        <w:rPr>
          <w:b w:val="0"/>
          <w:i w:val="0"/>
        </w:rPr>
        <w:t xml:space="preserve">, instituição financeira, pessoa jurídica de direito privado, inscrita no CNPJ sob o n.º 92.874.270/0001-40, com sede/endereço </w:t>
      </w:r>
      <w:r>
        <w:rPr>
          <w:b/>
          <w:i w:val="0"/>
          <w:highlight w:val="yellow"/>
        </w:rPr>
        <w:t>[PREENCHER: endereço completo e CEP do Banco Digimais S.A. — não consta do arquivo de requeridos nem do espelho do contrato]</w:t>
      </w:r>
      <w:r>
        <w:rPr>
          <w:b w:val="0"/>
          <w:i w:val="0"/>
        </w:rPr>
        <w:t>, pelos fatos e fundamentos jurídicos a seguir articulados:</w:t>
      </w:r>
    </w:p>
    <w:p>
      <w:pPr>
        <w:spacing w:after="160" w:line="360" w:lineRule="auto"/>
        <w:jc w:val="center"/>
      </w:pPr>
      <w:r>
        <w:rPr>
          <w:b/>
          <w:i w:val="0"/>
        </w:rPr>
        <w:t>SEÇÃO I — DAS QUESTÕES PRELIMINARES</w:t>
      </w:r>
    </w:p>
    <w:p>
      <w:pPr>
        <w:spacing w:after="120" w:line="360" w:lineRule="auto"/>
        <w:jc w:val="left"/>
      </w:pPr>
      <w:r>
        <w:rPr>
          <w:b/>
          <w:i w:val="0"/>
        </w:rPr>
        <w:t>1. Da gratuidade da justiça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parte Autora é trabalhador assalariado, motorista, com remuneração bruta de R$ 3.113,95 em novembro/2025 (contracheque anexo), já comprometida com descontos de empréstimos consignados e demais rubricas. Sua renda — precisamente a renda que a Ré vem corroendo com os encargos adiante demonstrados — não comporta o pagamento de custas processuais e honorários advocatícios sem sacrifício do sustento próprio e familiar. A garantia do art. 5.º, LXXIV, da Constituição Federal não é benesse: é condição de acesso à jurisdição. Requer-se, pois, a concessão da gratuidade da justiça, na forma dos arts. 98 e seguintes do Código de Processo Civil, conforme declaração de hipossuficiência anexa.</w:t>
      </w:r>
    </w:p>
    <w:p>
      <w:pPr>
        <w:spacing w:after="120" w:line="360" w:lineRule="auto"/>
        <w:jc w:val="left"/>
      </w:pPr>
      <w:r>
        <w:rPr>
          <w:b/>
          <w:i w:val="0"/>
        </w:rPr>
        <w:t>2. Do desinteresse na audiência de conciliação e mediação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parte Autora manifesta, desde logo, expresso desinteresse na designação da audiência do art. 334 do CPC (§ 5.º). A experiência forense demonstra que as instituições financeiras não comparecem a tais audiências com ânimo compositivo real, convertendo o instituto conciliatório em instrumento de procrastinação. A dispensa do ato prestigia a razoável duração do processo (art. 5.º, LXXVIII, CF/88).</w:t>
      </w:r>
    </w:p>
    <w:p>
      <w:pPr>
        <w:spacing w:after="120" w:line="360" w:lineRule="auto"/>
        <w:jc w:val="left"/>
      </w:pPr>
      <w:r>
        <w:rPr>
          <w:b/>
          <w:i w:val="0"/>
        </w:rPr>
        <w:t>3. Do julgamento antecipado do mérito e da exibição incidental de documentos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A controvérsia é predominantemente documental: de um lado, o espelho do contrato com suas taxas; de outro, a série histórica oficial do Banco Central do Brasil. Contudo, a parte Autora dispõe apenas do "Espelho de Contrato" emitido pela própria Ré (CDC039, de 06/05/2026); </w:t>
      </w:r>
      <w:r>
        <w:rPr>
          <w:b/>
          <w:i w:val="0"/>
        </w:rPr>
        <w:t>não lhe foi entregue a Cédula de Crédito Bancário (CCB) original, o Custo Efetivo Total (CET) nem a prova da cessão de carteira</w:t>
      </w:r>
      <w:r>
        <w:rPr>
          <w:b w:val="0"/>
          <w:i w:val="0"/>
        </w:rPr>
        <w:t xml:space="preserve"> pela qual o crédito chegou à Ré. Tais documentos estão em poder exclusivo da Ré, razão pela qual se requer, incidentalmente e nos termos dos arts. 396 a 404 do CPC e 6.º, VIII, do CDC, a determinação de sua exibição (detalhada na Seção V), com posterior julgamento antecipado do mérito (art. 355, I, do CPC).</w:t>
      </w:r>
    </w:p>
    <w:p>
      <w:pPr>
        <w:spacing w:after="160" w:line="360" w:lineRule="auto"/>
        <w:jc w:val="center"/>
      </w:pPr>
      <w:r>
        <w:rPr>
          <w:b/>
          <w:i w:val="0"/>
        </w:rPr>
        <w:t>SEÇÃO II — DOS FATOS</w:t>
      </w:r>
    </w:p>
    <w:p>
      <w:pPr>
        <w:spacing w:after="120" w:line="360" w:lineRule="auto"/>
        <w:jc w:val="left"/>
      </w:pPr>
      <w:r>
        <w:rPr>
          <w:b/>
          <w:i w:val="0"/>
        </w:rPr>
        <w:t>1. Da contratação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A parte Autora, empregado da empresa Rio Negro Transportes Ltda. (CNPJ 03.064.830/0001-70) desde 17/12/2007, contratou, por intermédio da rede de lojas UY3 Sociedade de Crédito Direto S.A., operação de </w:t>
      </w:r>
      <w:r>
        <w:rPr>
          <w:b/>
          <w:i w:val="0"/>
        </w:rPr>
        <w:t>Consignado Privado do Trabalhador</w:t>
      </w:r>
      <w:r>
        <w:rPr>
          <w:b w:val="0"/>
          <w:i w:val="0"/>
        </w:rPr>
        <w:t xml:space="preserve"> (Produto 000058, Plano CI01/36), Contrato n.º 0002387526, emitido em 05/09/2025 e hoje registrado em nome do </w:t>
      </w:r>
      <w:r>
        <w:rPr>
          <w:b/>
          <w:i w:val="0"/>
        </w:rPr>
        <w:t>Banco Digimais S.A.</w:t>
      </w:r>
      <w:r>
        <w:rPr>
          <w:b w:val="0"/>
          <w:i w:val="0"/>
        </w:rPr>
        <w:t xml:space="preserve">, sob o código "Agente 0149 — Cessão de Carteira". A operação prevê 36 (trinta e seis) parcelas mensais de </w:t>
      </w:r>
      <w:r>
        <w:rPr>
          <w:b/>
          <w:i w:val="0"/>
        </w:rPr>
        <w:t>R$ 231,00</w:t>
      </w:r>
      <w:r>
        <w:rPr>
          <w:b w:val="0"/>
          <w:i w:val="0"/>
        </w:rPr>
        <w:t xml:space="preserve">, a primeira em 21/11/2025 e a última em 21/10/2028, totalizando </w:t>
      </w:r>
      <w:r>
        <w:rPr>
          <w:b/>
          <w:i w:val="0"/>
        </w:rPr>
        <w:t>R$ 8.316,00</w:t>
      </w:r>
      <w:r>
        <w:rPr>
          <w:b w:val="0"/>
          <w:i w:val="0"/>
        </w:rPr>
        <w:t xml:space="preserve">, para um valor financiado (principal) de </w:t>
      </w:r>
      <w:r>
        <w:rPr>
          <w:b/>
          <w:i w:val="0"/>
        </w:rPr>
        <w:t>R$ 3.551,88</w:t>
      </w:r>
      <w:r>
        <w:rPr>
          <w:b w:val="0"/>
          <w:i w:val="0"/>
        </w:rPr>
        <w:t xml:space="preserve">, nele incluído IOF financiado de R$ 122,30. A taxa nominal pactuada é de </w:t>
      </w:r>
      <w:r>
        <w:rPr>
          <w:b/>
          <w:i w:val="0"/>
        </w:rPr>
        <w:t>4,99% ao mês</w:t>
      </w:r>
      <w:r>
        <w:rPr>
          <w:b w:val="0"/>
          <w:i w:val="0"/>
        </w:rPr>
        <w:t xml:space="preserve">, com taxa anual de </w:t>
      </w:r>
      <w:r>
        <w:rPr>
          <w:b/>
          <w:i w:val="0"/>
        </w:rPr>
        <w:t>79,38%</w:t>
      </w:r>
      <w:r>
        <w:rPr>
          <w:b w:val="0"/>
          <w:i w:val="0"/>
        </w:rPr>
        <w:t>, conforme o Quadro II do espelho. O desconto das parcelas em folha de pagamento consta do contracheque de novembro/2025 ("Desc. Emp. Cred. Trab. n.º 3669361", R$ 231,00).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O espelho registra como liquidadas as parcelas 1 a 6 e como abertas as parcelas 7 a 36. A situação das parcelas posteriores a 06/05/2026 é a confirmar, mediante contracheques e extratos a serem juntados e atualizados até o ajuizamento.</w:t>
      </w:r>
    </w:p>
    <w:p>
      <w:pPr>
        <w:spacing w:after="120" w:line="360" w:lineRule="auto"/>
        <w:jc w:val="left"/>
      </w:pPr>
      <w:r>
        <w:rPr>
          <w:b/>
          <w:i w:val="0"/>
        </w:rPr>
        <w:t>2. Da demonstração aritmética do excesso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No mês da contratação (09/2025), a taxa média de mercado para a modalidade, apurada e divulgada pelo Banco Central do Brasil, era de </w:t>
      </w:r>
      <w:r>
        <w:rPr>
          <w:b/>
          <w:i w:val="0"/>
        </w:rPr>
        <w:t>3,44% ao mês</w:t>
      </w:r>
      <w:r>
        <w:rPr>
          <w:b w:val="0"/>
          <w:i w:val="0"/>
        </w:rPr>
        <w:t>. O quadro comparativo evidencia o excesso (Memória de Cálculo — Doc.):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PARÂMETRO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CONTRATO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MERCADO (BACEN)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Taxa mensal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4,99% a.m.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3,44% a.m.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Taxa anual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79,38% a.a.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[a conferir na série oficial]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Valor da prestação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R$ 231,00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R$ 173,54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Proporção sobre a média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1,45 vez (45,1% acima)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1,00 (referencial)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Excesso mensal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R$ 57,46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Total a pagar (36 parcelas)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R$ 8.316,00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R$ 6.247,44 (valor incontroverso)</w:t>
            </w:r>
          </w:p>
        </w:tc>
      </w:tr>
    </w:tbl>
    <w:p/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O recálculo pela taxa média de mercado, mantidos o principal (R$ 3.551,88) e o prazo (36 meses), pelo Sistema Francês de Amortização, resulta em prestação de R$ 173,54, com excesso nominal de R$ 57,46 por parcela e de R$ 2.068,56 ao longo de todo o contrato. Em leitura econômica, o consumidor, que presumidamente recebeu R$ 3.429,58 (financiado menos IOF), obriga-se a devolver R$ 8.316,00, isto é, </w:t>
      </w:r>
      <w:r>
        <w:rPr>
          <w:b/>
          <w:i w:val="0"/>
        </w:rPr>
        <w:t>2,42 vezes o capital líquido</w:t>
      </w:r>
      <w:r>
        <w:rPr>
          <w:b w:val="0"/>
          <w:i w:val="0"/>
        </w:rPr>
        <w:t>.</w:t>
      </w:r>
    </w:p>
    <w:p>
      <w:pPr>
        <w:spacing w:after="120" w:line="360" w:lineRule="auto"/>
        <w:jc w:val="left"/>
      </w:pPr>
      <w:r>
        <w:rPr>
          <w:b/>
          <w:i w:val="0"/>
        </w:rPr>
        <w:t>3. Da falta de transparência: o campo "Valor da Compra" e a ausência de CET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O espelho emitido pela Ré indica, no campo "Valor da Compra", a quantia de </w:t>
      </w:r>
      <w:r>
        <w:rPr>
          <w:b/>
          <w:i w:val="0"/>
        </w:rPr>
        <w:t>R$ 3.003,35</w:t>
      </w:r>
      <w:r>
        <w:rPr>
          <w:b w:val="0"/>
          <w:i w:val="0"/>
        </w:rPr>
        <w:t xml:space="preserve">, ao passo que o valor financiado é de R$ 3.551,88 e, deduzido o IOF de R$ 122,30, o líquido presumido é de R$ 3.429,58. Há, portanto, uma </w:t>
      </w:r>
      <w:r>
        <w:rPr>
          <w:b/>
          <w:i w:val="0"/>
        </w:rPr>
        <w:t>diferença não explicada de R$ 426,23</w:t>
      </w:r>
      <w:r>
        <w:rPr>
          <w:b w:val="0"/>
          <w:i w:val="0"/>
        </w:rPr>
        <w:t xml:space="preserve"> (R$ 548,53 se comparada ao principal) entre o valor atribuído à "compra" e o valor sobre o qual se calculam os juros. Tarifas e seguros constam zerados; nenhum outro componente justifica a diferença. Se o valor efetivamente liberado ao consumidor foi o de R$ 3.003,35, o custo real da operação é substancialmente superior ao divulgado, e a taxa efetivamente paga supera a nominal. Além disso, o espelho </w:t>
      </w:r>
      <w:r>
        <w:rPr>
          <w:b/>
          <w:i w:val="0"/>
        </w:rPr>
        <w:t>não informa o CET</w:t>
      </w:r>
      <w:r>
        <w:rPr>
          <w:b w:val="0"/>
          <w:i w:val="0"/>
        </w:rPr>
        <w:t>, o valor líquido creditado nem o empregador.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parte Autora não sabe, e a Ré jamais lhe esclareceu, a que corresponde a diferença de R$ 426,23, tampouco o que significa o rótulo "Cessão de Carteira" aplicado a um contrato recém-celebrado. Trata-se de opacidade que viola o dever de informação adequada e clara (arts. 6.º, III, 31 e 52 do CDC) e que, por si, justifica a exibição dos documentos requerida.</w:t>
      </w:r>
    </w:p>
    <w:p>
      <w:pPr>
        <w:spacing w:after="160" w:line="360" w:lineRule="auto"/>
        <w:jc w:val="center"/>
      </w:pPr>
      <w:r>
        <w:rPr>
          <w:b/>
          <w:i w:val="0"/>
        </w:rPr>
        <w:t>SEÇÃO III — DO DIREITO</w:t>
      </w:r>
    </w:p>
    <w:p>
      <w:pPr>
        <w:spacing w:after="120" w:line="360" w:lineRule="auto"/>
        <w:jc w:val="left"/>
      </w:pPr>
      <w:r>
        <w:rPr>
          <w:b/>
          <w:i w:val="0"/>
        </w:rPr>
        <w:t>1. Da aplicação do Código de Defesa do Consumidor às instituições financeiras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Está pacificada a incidência do CDC às instituições financeiras: "O Código de Defesa do Consumidor é aplicável às instituições financeiras" (Súmula 297/STJ), conforme também decidido pelo STF na ADI 2.591. Incidem, em bloco, o princípio da vulnerabilidade (art. 4.º, I), o dever de informação clara, adequada e ostensiva (arts. 6.º, III, 31, 46 e 52), a nulidade das cláusulas abusivas (art. 51, IV e § 1.º, III), a vedação à vantagem manifestamente excessiva (art. 39, V) e a responsabilidade objetiva do fornecedor (art. 14, Súmula 479/STJ). A Ré, como cessionária do crédito, responde perante o consumidor pelos vícios da relação originária, em solidariedade com a cadeia de fornecimento (art. 7.º, parágrafo único, e art. 25, § 1.º, do CDC).</w:t>
      </w:r>
    </w:p>
    <w:p>
      <w:pPr>
        <w:spacing w:after="120" w:line="360" w:lineRule="auto"/>
        <w:jc w:val="left"/>
      </w:pPr>
      <w:r>
        <w:rPr>
          <w:b/>
          <w:i w:val="0"/>
        </w:rPr>
        <w:t>2. Do dever de informação e do vício de consentimento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validade do negócio pressupõe consentimento informado. O consumidor não recebeu cópia da CCB, não foi informado do CET e não foi esclarecido sobre a origem da diferença de R$ 426,23 entre o "Valor da Compra" e o valor financiado. Percentuais mensais isolados, desacompanhados do custo efetivo total e do confronto com o padrão de mercado, são tecnicamente verdadeiros e substancialmente insuficientes, e o art. 46 do CDC é expresso: os contratos não obrigam o consumidor se redigidos de modo a dificultar a compreensão de seu sentido e alcance. A ausência de CET afronta, ainda, a regulamentação do Conselho Monetário Nacional sobre a divulgação do custo efetivo das operações de crédito (Resolução CMN n.º 3.517/2007).</w:t>
      </w:r>
    </w:p>
    <w:p>
      <w:pPr>
        <w:spacing w:after="120" w:line="360" w:lineRule="auto"/>
        <w:jc w:val="left"/>
      </w:pPr>
      <w:r>
        <w:rPr>
          <w:b/>
          <w:i w:val="0"/>
        </w:rPr>
        <w:t>3. Das práticas abusivas — art. 39, IV e V, do CDC</w:t>
      </w:r>
    </w:p>
    <w:p>
      <w:pPr>
        <w:spacing w:after="120" w:line="360" w:lineRule="auto"/>
        <w:ind w:left="2268"/>
        <w:jc w:val="both"/>
      </w:pPr>
      <w:r>
        <w:rPr>
          <w:b w:val="0"/>
          <w:i/>
        </w:rPr>
        <w:t>"Art. 39. É vedado ao fornecedor de produtos ou serviços, dentre outras práticas abusivas: [...] IV — prevalecer-se da fraqueza ou ignorância do consumidor, tendo em vista sua idade, saúde, conhecimento ou condição social, para impingir-lhe seus produtos ou serviços; V — exigir do consumidor vantagem manifestamente excessiva;"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O trabalhador celetista de renda modesta que contrata crédito consignado para fazer frente a necessidades imediatas não tem poder de barganha: adere a condições pré-formuladas, sem acesso ao instrumento e sem domínio da matemática financeira. A cobrança de encargos acima da média de mercado, sem a devida transparência quanto ao custo real da operação, configura a vantagem excessiva que o legislador quis coibir.</w:t>
      </w:r>
    </w:p>
    <w:p>
      <w:pPr>
        <w:spacing w:after="120" w:line="360" w:lineRule="auto"/>
        <w:jc w:val="left"/>
      </w:pPr>
      <w:r>
        <w:rPr>
          <w:b/>
          <w:i w:val="0"/>
        </w:rPr>
        <w:t>4. Da abusividade dos juros remuneratórios — a construção do STJ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liberação do teto de juros (Súmula 596/STF; Súmula 382/STJ) jamais significou a liberação do controle. O REsp 1.061.530/RS (Segunda Seção, Rel. Min. Nancy Andrighi, recursos repetitivos — Tema 27/STJ) admite a revisão das taxas quando cabalmente demonstrada a abusividade capaz de colocar o consumidor em desvantagem exagerada (art. 51, § 1.º, CDC), erigindo a taxa média de mercado divulgada pelo Banco Central a referencial objetivo dessa aferição. E, na impossibilidade de comprovar a taxa efetivamente contratada, aplica-se a taxa média:</w:t>
      </w:r>
    </w:p>
    <w:p>
      <w:pPr>
        <w:spacing w:after="120" w:line="360" w:lineRule="auto"/>
        <w:ind w:left="2268"/>
        <w:jc w:val="both"/>
      </w:pPr>
      <w:r>
        <w:rPr>
          <w:b w:val="0"/>
          <w:i/>
        </w:rPr>
        <w:t>"Nos contratos bancários, na impossibilidade de comprovar a taxa de juros efetivamente contratada — por ausência de pactuação ou pela falta de juntada do instrumento aos autos —, aplica-se a taxa média de mercado, divulgada pelo Bacen, praticada nas operações da mesma espécie, salvo se a taxa cobrada for mais vantajosa para o devedor." (Súmula 530/STJ)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Na hipótese, a taxa pactuada de 4,99% a.m. equivale a 1,45 vez a taxa média de mercado (3,44% a.m.), isto é, </w:t>
      </w:r>
      <w:r>
        <w:rPr>
          <w:b/>
          <w:i w:val="0"/>
        </w:rPr>
        <w:t>45,1% acima</w:t>
      </w:r>
      <w:r>
        <w:rPr>
          <w:b w:val="0"/>
          <w:i w:val="0"/>
        </w:rPr>
        <w:t xml:space="preserve"> da média divulgada pelo Banco Central para a modalidade e período. Registre-se, com a lealdade processual que se espera, que o percentual </w:t>
      </w:r>
      <w:r>
        <w:rPr>
          <w:b/>
          <w:i w:val="0"/>
        </w:rPr>
        <w:t>não ultrapassa a régua de uma vez e meia</w:t>
      </w:r>
      <w:r>
        <w:rPr>
          <w:b w:val="0"/>
          <w:i w:val="0"/>
        </w:rPr>
        <w:t xml:space="preserve"> a média, de modo que a parte Autora não se vale de presunção automática de abusividade; a demonstração da desvantagem exagerada decorre do conjunto das circunstâncias concretas, adiante expostas.</w:t>
      </w:r>
    </w:p>
    <w:p>
      <w:pPr>
        <w:spacing w:after="120" w:line="360" w:lineRule="auto"/>
        <w:jc w:val="left"/>
      </w:pPr>
      <w:r>
        <w:rPr>
          <w:b/>
          <w:i w:val="0"/>
        </w:rPr>
        <w:t>5. Do Tema 1378/STJ — a abusividade pelo conjunto das circunstâncias concretas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Segunda Seção do STJ afetou ao rito dos recursos repetitivos o Tema 1378 (Rel. Min. Antonio Carlos Ferreira), para definir se a taxa média de mercado divulgada pelo Banco Central é, por si só, fundamento suficiente para a aferição da abusividade dos juros remuneratórios. A afetação suspende os recursos especiais e agravos em recurso especial sobre a matéria (art. 1.037, II, do CPC), não as ações em primeiro grau, que seguem seu curso; eventual pedido de sobrestamento deve ser indeferido.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A presente inicial não se apoia na taxa média como fundamento exclusivo. Reconhece-se que a taxa de 4,99% a.m. situa-se na faixa entre 1 e 1,5 vez a média, zona em que o debate jurisprudencial é mais intenso. Por isso, a abusividade é demonstrada pelo conjunto de elementos concretos: (i) trata-se de </w:t>
      </w:r>
      <w:r>
        <w:rPr>
          <w:b/>
          <w:i w:val="0"/>
        </w:rPr>
        <w:t>consignado privado com desconto em folha</w:t>
      </w:r>
      <w:r>
        <w:rPr>
          <w:b w:val="0"/>
          <w:i w:val="0"/>
        </w:rPr>
        <w:t>, modalidade em que o risco de inadimplência é substancialmente reduzido pela retenção na fonte, circunstância que não se coaduna com a cobrança de taxa 45,1% superior à média; (ii) o consumidor é trabalhador de renda modesta, em situação de vulnerabilidade; (iii) o contrato foi celebrado sem entrega da CCB e sem informação do CET; (iv) há divergência não explicada de R$ 426,23 entre o "Valor da Compra" e o valor financiado, a indicar custo real superior ao declarado; (v) a operação envolve cessão de carteira entre sociedade de crédito direto e banco, sem qualquer informação ao consumidor; e (vi) o custo total da operação (R$ 8.316,00) equivale a 2,42 vezes o capital líquido presumidamente recebido. Assim, qualquer que seja a tese fixada no Tema 1378, a controvérsia subsiste em todos os seus contornos: se prevalecer a suficiência da taxa média, o excesso está objetivamente demonstrado; se prevalecer a exigência de circunstâncias concretas, elas estão documentadas nos autos ou serão evidenciadas com a exibição requerida.</w:t>
      </w:r>
    </w:p>
    <w:p>
      <w:pPr>
        <w:spacing w:after="120" w:line="360" w:lineRule="auto"/>
        <w:jc w:val="left"/>
      </w:pPr>
      <w:r>
        <w:rPr>
          <w:b/>
          <w:i w:val="0"/>
        </w:rPr>
        <w:t>6. Da capitalização de juros — anatocismo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A taxa nominal mensal de 4,99% corresponde, em juros simples, a 59,88% ao ano (4,99% × 12); a taxa anual declarada pela Ré é de 79,38%. A </w:t>
      </w:r>
      <w:r>
        <w:rPr>
          <w:b/>
          <w:i w:val="0"/>
        </w:rPr>
        <w:t>divergência de 19,50 pontos percentuais</w:t>
      </w:r>
      <w:r>
        <w:rPr>
          <w:b w:val="0"/>
          <w:i w:val="0"/>
        </w:rPr>
        <w:t xml:space="preserve"> demonstra a capitalização composta mensal. Conforme a Súmula 541/STJ, a capitalização em periodicidade inferior à anual somente é admitida quando expressamente pactuada, o que, em ambiente consumerista, exige informação clara, destacada e compreensível — o que não se pode verificar, pois a CCB não foi entregue ao consumidor. Ausente a pactuação expressa e qualificada, aplicam-se a vedação do art. 4.º do Decreto n.º 22.626/33 e a Súmula 121/STF. Na linha da Memória de Cálculo, o pedido é de readequação à taxa média pelo Sistema Francês de Amortização, vedada a capitalização em taxa superior à média.</w:t>
      </w:r>
    </w:p>
    <w:p>
      <w:pPr>
        <w:spacing w:after="120" w:line="360" w:lineRule="auto"/>
        <w:jc w:val="left"/>
      </w:pPr>
      <w:r>
        <w:rPr>
          <w:b/>
          <w:i w:val="0"/>
        </w:rPr>
        <w:t>7. Das cláusulas abusivas do contrato de adesão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O instrumento é contrato de adesão (art. 54, CDC), sem espaço de negociação. O art. 51, IV e § 1.º, III, comina de nulidade as cláusulas que coloquem o consumidor em desvantagem exagerada ou sejam excessivamente onerosas, considerando-se a natureza e o conteúdo do contrato. Requer-se a declaração de nulidade das cláusulas que fixam os encargos acima da taxa média e que preveem a capitalização de juros sem pactuação expressa, a serem identificadas na CCB a ser exibida.</w:t>
      </w:r>
    </w:p>
    <w:p>
      <w:pPr>
        <w:spacing w:after="120" w:line="360" w:lineRule="auto"/>
        <w:jc w:val="left"/>
      </w:pPr>
      <w:r>
        <w:rPr>
          <w:b/>
          <w:i w:val="0"/>
        </w:rPr>
        <w:t>8. Da inversão do ônus da prova e da exibição de documentos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hipossuficiência técnica do Autor perante a instituição financeira, detentora exclusiva da documentação e da contabilidade da operação, impõe a inversão do ônus da prova (art. 6.º, VIII, do CDC). Cabe à Ré demonstrar a regularidade das taxas, a pactuação expressa e informada da capitalização, o CET e a composição do valor financiado. Em complemento, e nos termos dos arts. 396 e seguintes do CPC, requer-se a exibição incidental da CCB original, da prova da cessão da carteira (UY3 SCD ao Banco Digimais) e dos demais documentos listados na Seção V. Na forma do art. 400 do CPC, a recusa injustificada admitirá como verdadeiros os fatos que, por meio dos documentos, a parte Autora pretendia provar, em especial a ausência de pactuação expressa da taxa e da capitalização, devendo-se aplicar a taxa média de mercado (Súmula 530/STJ).</w:t>
      </w:r>
    </w:p>
    <w:p>
      <w:pPr>
        <w:spacing w:after="120" w:line="360" w:lineRule="auto"/>
        <w:jc w:val="left"/>
      </w:pPr>
      <w:r>
        <w:rPr>
          <w:b/>
          <w:i w:val="0"/>
        </w:rPr>
        <w:t>9. Da tutela de urgência — art. 300 do CPC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A probabilidade do direito decorre do espelho do contrato e da série histórica do BACEN, que demonstram taxa 45,1% superior à média oficial, da ausência de CET e da divergência de R$ 426,23. O perigo de dano reside na continuidade dos descontos mensais de R$ 231,00 sobre verba de natureza alimentar, a cada mês, com prejuízo ao sustento do Autor. Conforme o espelho de 06/05/2026, há 30 parcelas em aberto (7 a 36), cuja situação atual será atualizada com os contracheques e extratos. Requer-se, assim, tutela de urgência para limitar os descontos vincendos a </w:t>
      </w:r>
      <w:r>
        <w:rPr>
          <w:b/>
          <w:i w:val="0"/>
        </w:rPr>
        <w:t>R$ 173,54</w:t>
      </w:r>
      <w:r>
        <w:rPr>
          <w:b w:val="0"/>
          <w:i w:val="0"/>
        </w:rPr>
        <w:t xml:space="preserve"> mensais (prestação recalculada pela taxa média de 3,44% a.m.), ou, subsidiariamente, para suspender os descontos no que excederem esse patamar, sob pena de multa diária de R$ 500,00. Não há perigo de irreversibilidade: o valor incontroverso continua sendo pago, e a diferença permanece apurável.</w:t>
      </w:r>
    </w:p>
    <w:p>
      <w:pPr>
        <w:spacing w:after="160" w:line="360" w:lineRule="auto"/>
        <w:jc w:val="center"/>
      </w:pPr>
      <w:r>
        <w:rPr>
          <w:b/>
          <w:i w:val="0"/>
        </w:rPr>
        <w:t>SEÇÃO IV — DOS DANOS</w:t>
      </w:r>
    </w:p>
    <w:p>
      <w:pPr>
        <w:spacing w:after="120" w:line="360" w:lineRule="auto"/>
        <w:jc w:val="left"/>
      </w:pPr>
      <w:r>
        <w:rPr>
          <w:b/>
          <w:i w:val="0"/>
        </w:rPr>
        <w:t>1. Danos materiais — repetição do indébito em dobro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O excesso cobrado nas parcelas 1 a 6, registradas como pagas no espelho, é de R$ 344,76 em valores nominais e </w:t>
      </w:r>
      <w:r>
        <w:rPr>
          <w:b/>
          <w:i w:val="0"/>
        </w:rPr>
        <w:t>R$ 354,05 corrigidos pelo IPCA (SGS 433) até 08/2026</w:t>
      </w:r>
      <w:r>
        <w:rPr>
          <w:b w:val="0"/>
          <w:i w:val="0"/>
        </w:rPr>
        <w:t xml:space="preserve">, devendo ser restituído em dobro, na forma do art. 42, parágrafo único, do CDC, o que perfaz </w:t>
      </w:r>
      <w:r>
        <w:rPr>
          <w:b/>
          <w:i w:val="0"/>
        </w:rPr>
        <w:t>R$ 708,10</w:t>
      </w:r>
      <w:r>
        <w:rPr>
          <w:b w:val="0"/>
          <w:i w:val="0"/>
        </w:rPr>
        <w:t>. A restituição em dobro independe de má-fé:</w:t>
      </w:r>
    </w:p>
    <w:p>
      <w:pPr>
        <w:spacing w:after="120" w:line="360" w:lineRule="auto"/>
        <w:ind w:left="2268"/>
        <w:jc w:val="both"/>
      </w:pPr>
      <w:r>
        <w:rPr>
          <w:b w:val="0"/>
          <w:i/>
        </w:rPr>
        <w:t>"A restituição em dobro do indébito (parágrafo único do artigo 42 do CDC) independe da natureza do elemento volitivo do fornecedor que cobrou valor indevido, revelando-se cabível quando a cobrança indevida consubstanciar conduta contrária à boa-fé objetiva." (STJ, Corte Especial, EAREsp 676.608/RS, Rel. Min. Og Fernandes, j. 21/10/2020)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Cobrar encargos acima da média, sem informar o CET e sem esclarecer a divergência entre o valor da compra e o valor financiado, contraria a boa-fé objetiva. Ressalva-se que o valor acima </w:t>
      </w:r>
      <w:r>
        <w:rPr>
          <w:b/>
          <w:i w:val="0"/>
        </w:rPr>
        <w:t>é calculado apenas sobre as parcelas pagas até 06/05/2026, conforme o espelho</w:t>
      </w:r>
      <w:r>
        <w:rPr>
          <w:b w:val="0"/>
          <w:i w:val="0"/>
        </w:rPr>
        <w:t>; as parcelas subsequentes, se efetivamente descontadas, serão incluídas em liquidação (projeção, caso as 30 parcelas restantes sejam integralmente pagas: R$ 2.077,75 simples / R$ 4.155,50 em dobro), a confirmar com contracheques e extratos. A correção monetária incide desde cada desembolso (Súmula 43/STJ) e os juros de mora, desde a citação.</w:t>
      </w:r>
    </w:p>
    <w:p>
      <w:pPr>
        <w:spacing w:after="120" w:line="360" w:lineRule="auto"/>
        <w:jc w:val="left"/>
      </w:pPr>
      <w:r>
        <w:rPr>
          <w:b/>
          <w:i w:val="0"/>
        </w:rPr>
        <w:t>2. Do dano moral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O dano moral decorre da imposição de encargos acima da média de mercado, sem transparência, sobre a remuneração de trabalhador de renda modesta, com apropriação mensal de verba alimentar, e do tempo e dos recursos que o Autor foi compelido a despender para tentar esclarecer a operação (desvio produtivo do consumidor). A cobrança acima do padrão, aliada à recusa de informações essenciais (CET, CCB, origem da diferença de R$ 426,23), ultrapassa o mero dissabor. Na quantificação, pelo método bifásico (STJ), consideram-se a natureza alimentar da verba atingida, o mecanismo de cobrança em folha, o tempo subtraído do Autor e o porte econômico da Ré, justificando-se a indenização de </w:t>
      </w:r>
      <w:r>
        <w:rPr>
          <w:b/>
          <w:i w:val="0"/>
        </w:rPr>
        <w:t>R$ 10.000,00</w:t>
      </w:r>
      <w:r>
        <w:rPr>
          <w:b w:val="0"/>
          <w:i w:val="0"/>
        </w:rPr>
        <w:t xml:space="preserve"> (dez mil reais).</w:t>
      </w:r>
    </w:p>
    <w:p>
      <w:pPr>
        <w:spacing w:after="160" w:line="360" w:lineRule="auto"/>
        <w:jc w:val="center"/>
      </w:pPr>
      <w:r>
        <w:rPr>
          <w:b/>
          <w:i w:val="0"/>
        </w:rPr>
        <w:t>SEÇÃO V — DOS PEDIDOS</w:t>
      </w:r>
    </w:p>
    <w:p>
      <w:pPr>
        <w:spacing w:after="120" w:line="360" w:lineRule="auto"/>
        <w:jc w:val="both"/>
      </w:pPr>
      <w:r>
        <w:rPr>
          <w:b w:val="0"/>
          <w:i w:val="0"/>
        </w:rPr>
        <w:t>Ante todo o exposto, requer-se a Vossa Excelência:</w:t>
      </w:r>
    </w:p>
    <w:p>
      <w:pPr>
        <w:spacing w:after="120" w:line="360" w:lineRule="auto"/>
        <w:jc w:val="both"/>
      </w:pPr>
      <w:r>
        <w:rPr>
          <w:b w:val="0"/>
          <w:i w:val="0"/>
        </w:rPr>
        <w:t>a) a concessão dos benefícios da gratuidade da justiça, nos termos dos arts. 98 e 99 do CPC;</w:t>
      </w:r>
    </w:p>
    <w:p>
      <w:pPr>
        <w:spacing w:after="120" w:line="360" w:lineRule="auto"/>
        <w:jc w:val="both"/>
      </w:pPr>
      <w:r>
        <w:rPr>
          <w:b w:val="0"/>
          <w:i w:val="0"/>
        </w:rPr>
        <w:t>b) a não designação de audiência de conciliação e mediação, ante o desinteresse expresso da parte Autora (art. 334, § 5.º, CPC);</w:t>
      </w:r>
    </w:p>
    <w:p>
      <w:pPr>
        <w:spacing w:after="120" w:line="360" w:lineRule="auto"/>
        <w:jc w:val="both"/>
      </w:pPr>
      <w:r>
        <w:rPr>
          <w:b w:val="0"/>
          <w:i w:val="0"/>
        </w:rPr>
        <w:t>c) a concessão de TUTELA DE URGÊNCIA para limitar os descontos vincendos do contrato impugnado ao valor de R$ 173,54 mensais (prestação recalculada pela taxa média de 3,44% a.m.), ou, subsidiariamente, suspender os descontos no que excederem esse patamar, sob pena de multa diária de R$ 500,00;</w:t>
      </w:r>
    </w:p>
    <w:p>
      <w:pPr>
        <w:spacing w:after="120" w:line="360" w:lineRule="auto"/>
        <w:jc w:val="both"/>
      </w:pPr>
      <w:r>
        <w:rPr>
          <w:b w:val="0"/>
          <w:i w:val="0"/>
        </w:rPr>
        <w:t>d) a inversão do ônus da prova (art. 6.º, VIII, CDC);</w:t>
      </w:r>
    </w:p>
    <w:p>
      <w:pPr>
        <w:spacing w:after="120" w:line="360" w:lineRule="auto"/>
        <w:jc w:val="both"/>
      </w:pPr>
      <w:r>
        <w:rPr>
          <w:b w:val="0"/>
          <w:i w:val="0"/>
        </w:rPr>
        <w:t>e) a determinação, em caráter incidental (arts. 396 a 404 do CPC), de que a Ré exiba, no prazo de 15 dias, sob pena de se admitirem como verdadeiros os fatos que o Autor pretende provar (art. 400 do CPC) e de busca e apreensão ou multa: (i) a Cédula de Crédito Bancário (CCB) original do Contrato n.º 0002387526, com a assinatura/formalização do consumidor; (ii) o CET e a planilha de evolução do débito; (iii) a prova da cessão de carteira entre UY3 Sociedade de Crédito Direto S.A. e o Banco Digimais S.A. (contrato de cessão, notificação ao devedor e demonstrativo do preço da cessão relativo a este contrato); (iv) o comprovante do crédito do valor líquido ao Autor (TED/PIX) e a composição do valor financiado, com esclarecimento do campo "Valor da Compra" (R$ 3.003,35) e da diferença de R$ 426,23; (v) o histórico de pagamentos, incluindo encargos moratórios cobrados;</w:t>
      </w:r>
    </w:p>
    <w:p>
      <w:pPr>
        <w:spacing w:after="120" w:line="360" w:lineRule="auto"/>
        <w:jc w:val="both"/>
      </w:pPr>
      <w:r>
        <w:rPr>
          <w:b w:val="0"/>
          <w:i w:val="0"/>
        </w:rPr>
        <w:t>f) a citação da Ré para, querendo, contestar, sob pena de revelia e confissão quanto à matéria de fato (art. 344, CPC);</w:t>
      </w:r>
    </w:p>
    <w:p>
      <w:pPr>
        <w:spacing w:after="120" w:line="360" w:lineRule="auto"/>
        <w:jc w:val="both"/>
      </w:pPr>
      <w:r>
        <w:rPr>
          <w:b w:val="0"/>
          <w:i w:val="0"/>
        </w:rPr>
        <w:t>g) a declaração de abusividade da taxa de juros pactuada (4,99% a.m. / 79,38% a.a.) e a revisão do contrato, com a readequação dos encargos à taxa média de mercado divulgada pelo Banco Central para a modalidade e período (3,44% a.m., a ser conferida na série oficial), pelo Sistema Francês de Amortização, vedada a capitalização em taxa superior à média;</w:t>
      </w:r>
    </w:p>
    <w:p>
      <w:pPr>
        <w:spacing w:after="120" w:line="360" w:lineRule="auto"/>
        <w:jc w:val="both"/>
      </w:pPr>
      <w:r>
        <w:rPr>
          <w:b w:val="0"/>
          <w:i w:val="0"/>
        </w:rPr>
        <w:t>h) a declaração de nulidade das cláusulas abusivas do contrato de adesão, nos termos do art. 51, IV e § 1.º, III, do CDC, especialmente as que fixam encargos acima da média e a capitalização sem pactuação expressa;</w:t>
      </w:r>
    </w:p>
    <w:p>
      <w:pPr>
        <w:spacing w:after="120" w:line="360" w:lineRule="auto"/>
        <w:jc w:val="both"/>
      </w:pPr>
      <w:r>
        <w:rPr>
          <w:b w:val="0"/>
          <w:i w:val="0"/>
        </w:rPr>
        <w:t>i) a condenação da Ré à repetição do indébito em dobro, no valor de R$ 708,10 (parcelas 1 a 6, corrigidas pelo IPCA até 08/2026), acrescido do excesso de eventuais parcelas pagas posteriormente, a apurar em liquidação, com correção monetária desde cada desembolso e juros de mora desde a citação (art. 42, parágrafo único, CDC e EAREsp 676.608/RS);</w:t>
      </w:r>
    </w:p>
    <w:p>
      <w:pPr>
        <w:spacing w:after="120" w:line="360" w:lineRule="auto"/>
        <w:jc w:val="both"/>
      </w:pPr>
      <w:r>
        <w:rPr>
          <w:b w:val="0"/>
          <w:i w:val="0"/>
        </w:rPr>
        <w:t>j) a condenação da Ré ao pagamento de indenização por dano moral, no valor de R$ 10.000,00 (dez mil reais);</w:t>
      </w:r>
    </w:p>
    <w:p>
      <w:pPr>
        <w:spacing w:after="120" w:line="360" w:lineRule="auto"/>
        <w:jc w:val="both"/>
      </w:pPr>
      <w:r>
        <w:rPr>
          <w:b w:val="0"/>
          <w:i w:val="0"/>
        </w:rPr>
        <w:t>k) a condenação da Ré em custas processuais e honorários advocatícios de 20% sobre o valor da condenação (art. 85, § 2.º, CPC);</w:t>
      </w:r>
    </w:p>
    <w:p>
      <w:pPr>
        <w:spacing w:after="120" w:line="360" w:lineRule="auto"/>
        <w:jc w:val="both"/>
      </w:pPr>
      <w:r>
        <w:rPr>
          <w:b w:val="0"/>
          <w:i w:val="0"/>
        </w:rPr>
        <w:t>l) a produção de todas as provas em direito admitidas, em especial a documental, a pericial contábil e o depoimento pessoal do representante legal da Ré.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Dá-se à causa o valor de </w:t>
      </w:r>
      <w:r>
        <w:rPr>
          <w:b/>
          <w:i w:val="0"/>
        </w:rPr>
        <w:t>R$ 10.708,10</w:t>
      </w:r>
      <w:r>
        <w:rPr>
          <w:b w:val="0"/>
          <w:i w:val="0"/>
        </w:rPr>
        <w:t xml:space="preserve"> (dez mil, setecentos e oito reais e dez centavos), correspondente à repetição em dobro (R$ 708,10) acrescida do dano moral (R$ 10.000,00).</w:t>
      </w:r>
    </w:p>
    <w:p>
      <w:pPr>
        <w:spacing w:after="120" w:line="360" w:lineRule="auto"/>
        <w:jc w:val="left"/>
      </w:pPr>
      <w:r>
        <w:rPr>
          <w:b/>
          <w:i w:val="0"/>
        </w:rPr>
        <w:t>DOCUMENTOS QUE ACOMPANHAM A INICIAL</w:t>
      </w:r>
    </w:p>
    <w:p>
      <w:pPr>
        <w:spacing w:after="40" w:line="360" w:lineRule="auto"/>
        <w:jc w:val="both"/>
      </w:pPr>
      <w:r>
        <w:rPr>
          <w:b w:val="0"/>
          <w:i w:val="0"/>
        </w:rPr>
        <w:t>1. Procuração e declaração de hipossuficiência;</w:t>
      </w:r>
    </w:p>
    <w:p>
      <w:pPr>
        <w:spacing w:after="40" w:line="360" w:lineRule="auto"/>
        <w:jc w:val="both"/>
      </w:pPr>
      <w:r>
        <w:rPr>
          <w:b w:val="0"/>
          <w:i w:val="0"/>
        </w:rPr>
        <w:t>2. Documento de identificação (RG/CNH) e CPF;</w:t>
      </w:r>
    </w:p>
    <w:p>
      <w:pPr>
        <w:spacing w:after="40" w:line="360" w:lineRule="auto"/>
        <w:jc w:val="both"/>
      </w:pPr>
      <w:r>
        <w:rPr>
          <w:b w:val="0"/>
          <w:i w:val="0"/>
        </w:rPr>
        <w:t>3. Comprovante de residência;</w:t>
      </w:r>
    </w:p>
    <w:p>
      <w:pPr>
        <w:spacing w:after="40" w:line="360" w:lineRule="auto"/>
        <w:jc w:val="both"/>
      </w:pPr>
      <w:r>
        <w:rPr>
          <w:b w:val="0"/>
          <w:i w:val="0"/>
        </w:rPr>
        <w:t>4. Espelho do Contrato n.º 0002387526 (Banco Digimais S.A., CDC039, emitido em 06/05/2026);</w:t>
      </w:r>
    </w:p>
    <w:p>
      <w:pPr>
        <w:spacing w:after="40" w:line="360" w:lineRule="auto"/>
        <w:jc w:val="both"/>
      </w:pPr>
      <w:r>
        <w:rPr>
          <w:b w:val="0"/>
          <w:i w:val="0"/>
        </w:rPr>
        <w:t>5. Contracheque de novembro/2025 (Rio Negro Transportes Ltda.) e comprovantes de pagamento;</w:t>
      </w:r>
    </w:p>
    <w:p>
      <w:pPr>
        <w:spacing w:after="40" w:line="360" w:lineRule="auto"/>
        <w:jc w:val="both"/>
      </w:pPr>
      <w:r>
        <w:rPr>
          <w:b w:val="0"/>
          <w:i w:val="0"/>
        </w:rPr>
        <w:t>6. Memória de Cálculo (Doc.) — Laudo de Cálculo Revisional;</w:t>
      </w:r>
    </w:p>
    <w:p>
      <w:pPr>
        <w:spacing w:after="40" w:line="360" w:lineRule="auto"/>
        <w:jc w:val="both"/>
      </w:pPr>
      <w:r>
        <w:rPr>
          <w:b w:val="0"/>
          <w:i w:val="0"/>
        </w:rPr>
        <w:t>7. Consulta à série histórica da taxa média de juros (BACEN).</w:t>
      </w:r>
    </w:p>
    <w:p>
      <w:pPr>
        <w:spacing w:after="120" w:line="360" w:lineRule="auto"/>
        <w:jc w:val="both"/>
      </w:pPr>
    </w:p>
    <w:p>
      <w:pPr>
        <w:spacing w:after="120" w:line="360" w:lineRule="auto"/>
        <w:jc w:val="left"/>
      </w:pPr>
      <w:r>
        <w:rPr>
          <w:b w:val="0"/>
          <w:i w:val="0"/>
        </w:rPr>
        <w:t>Nestes termos,</w:t>
      </w:r>
    </w:p>
    <w:p>
      <w:pPr>
        <w:spacing w:after="120" w:line="360" w:lineRule="auto"/>
        <w:jc w:val="left"/>
      </w:pPr>
      <w:r>
        <w:rPr>
          <w:b w:val="0"/>
          <w:i w:val="0"/>
        </w:rPr>
        <w:t>Pede deferimento.</w:t>
      </w:r>
    </w:p>
    <w:p>
      <w:pPr>
        <w:spacing w:after="120" w:line="360" w:lineRule="auto"/>
        <w:jc w:val="left"/>
      </w:pPr>
      <w:r>
        <w:rPr>
          <w:b w:val="0"/>
          <w:i w:val="0"/>
        </w:rPr>
        <w:t>Salvador/BA, 7 de outubro de 2026.</w:t>
      </w:r>
    </w:p>
    <w:p>
      <w:pPr>
        <w:spacing w:after="120" w:line="360" w:lineRule="auto"/>
        <w:jc w:val="both"/>
      </w:pPr>
    </w:p>
    <w:p>
      <w:pPr>
        <w:spacing w:after="0" w:line="360" w:lineRule="auto"/>
        <w:jc w:val="center"/>
      </w:pPr>
      <w:r>
        <w:rPr>
          <w:b w:val="0"/>
          <w:i w:val="0"/>
        </w:rPr>
        <w:t>_____________________________________</w:t>
      </w:r>
    </w:p>
    <w:p>
      <w:pPr>
        <w:spacing w:after="120" w:line="360" w:lineRule="auto"/>
        <w:jc w:val="center"/>
      </w:pPr>
      <w:r>
        <w:rPr>
          <w:b/>
          <w:i w:val="0"/>
        </w:rPr>
        <w:t>CLEYTON DA SILVA BARBOSA - OAB/BA 92.148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