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/>
        <w:jc w:val="left"/>
      </w:pPr>
      <w:r>
        <w:rPr>
          <w:b/>
          <w:i w:val="0"/>
        </w:rPr>
        <w:t>AO JUÍZO DE DIREITO DA ___ª VARA CÍVEL DA COMARCA DE SALVADOR/BA</w:t>
      </w:r>
    </w:p>
    <w:p>
      <w:pPr>
        <w:spacing w:after="160" w:line="360" w:lineRule="auto"/>
        <w:jc w:val="left"/>
      </w:pPr>
      <w:r>
        <w:rPr>
          <w:b w:val="0"/>
          <w:i/>
        </w:rPr>
        <w:t>Consulta pública da taxa média de juros — Banco Central do Brasil: www3.bcb.gov.br/sgspub/</w:t>
      </w:r>
    </w:p>
    <w:p>
      <w:pPr>
        <w:spacing w:after="160" w:line="360" w:lineRule="auto"/>
        <w:ind w:firstLine="709"/>
        <w:jc w:val="both"/>
      </w:pPr>
      <w:r>
        <w:rPr>
          <w:b/>
          <w:i w:val="0"/>
        </w:rPr>
        <w:t>GISELE TAVARES DA SILVA</w:t>
      </w:r>
      <w:r>
        <w:rPr>
          <w:b w:val="0"/>
          <w:i w:val="0"/>
        </w:rPr>
        <w:t xml:space="preserve">, brasileira, </w:t>
      </w:r>
      <w:r>
        <w:rPr>
          <w:b/>
          <w:i w:val="0"/>
          <w:highlight w:val="yellow"/>
        </w:rPr>
        <w:t>[PREENCHER: estado civil]</w:t>
      </w:r>
      <w:r>
        <w:rPr>
          <w:b w:val="0"/>
          <w:i w:val="0"/>
        </w:rPr>
        <w:t>, beneficiária do INSS, nascida em 10/07/1988, portadora da Carteira de Identidade (registro nacional) nº 101.301.534-78, expedida pelo Instituto de Identificação de Alagoas, inscrita no CPF sob o nº 101.301.534-78, residente e domiciliada no Conjunto Mário Mafra, nº 19, Quadra D6, Brasil Novo, Rio Largo/AL, CEP 57100-000, sem endereço eletrônico, vem, mui respeitosamente, perante Vossa Excelência, por intermédio de seu advogado que esta subscreve (procuração anexa), propor a presente</w:t>
      </w:r>
    </w:p>
    <w:p>
      <w:pPr>
        <w:spacing w:after="160" w:line="360" w:lineRule="auto"/>
        <w:jc w:val="center"/>
      </w:pPr>
      <w:r>
        <w:rPr>
          <w:b/>
          <w:i w:val="0"/>
        </w:rPr>
        <w:t>AÇÃO REVISIONAL DE CONTRATO C/C REPETIÇÃO DE INDÉBITO EM DOBRO, PEDIDO INCIDENTAL DE EXIBIÇÃO DE CONTRATO E DE COMPROVANTE DE LIBERAÇÃO DO CRÉDITO, TUTELA DE URGÊNCIA E INDENIZAÇÃO POR DANOS MORAIS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em face de </w:t>
      </w:r>
      <w:r>
        <w:rPr>
          <w:b/>
          <w:i w:val="0"/>
        </w:rPr>
        <w:t>BANCO BMG S/A</w:t>
      </w:r>
      <w:r>
        <w:rPr>
          <w:b w:val="0"/>
          <w:i w:val="0"/>
        </w:rPr>
        <w:t>, pessoa jurídica de direito privado, inscrita no CNPJ sob o nº 61.186.680/0001-74, com sede na Avenida Presidente Juscelino Kubitschek, nº 1830, Torre 2, 10º andar, Vila Nova Conceição, São Paulo/SP, CEP 04543-900, e-mail para intimações desconhecido, pelos fatos e fundamentos a seguir expostos:</w:t>
      </w:r>
    </w:p>
    <w:p>
      <w:pPr>
        <w:spacing w:after="160" w:line="360" w:lineRule="auto"/>
        <w:jc w:val="both"/>
      </w:pPr>
      <w:r>
        <w:rPr>
          <w:b/>
          <w:i w:val="0"/>
        </w:rPr>
        <w:t>EMENTA: DIREITO DO CONSUMIDOR E DIREITO BANCÁRIO. AÇÃO REVISIONAL COM PEDIDO INCIDENTAL DE EXIBIÇÃO DE CONTRATO E DO COMPROVANTE DE LIBERAÇÃO DO CRÉDITO (ARTS. 396 A 400, CPC). DESNECESSIDADE DE REQUERIMENTO ADMINISTRATIVO PRÉVIO. EMPRÉSTIMO PESSOAL CONTRATADO POR APLICATIVO, SEM ENTREGA DO INSTRUMENTO. TAXA DECLARADA NA TELA DO APLICATIVO DE 15,99% a.m. (493,1% a.a.) E CET DE 17,55% a.m., SUPERIORES A DUAS VEZES E MEIA A TAXA MÉDIA DE MERCADO. INCONSISTÊNCIA GRAVE ENTRE O VALOR SOLICITADO (R$ 769,30), A PARCELA (18 x R$ 517,10) E A TAXA INFORMADA. SÚMULA 530/STJ. ART. 400, I, CPC. REPETIÇÃO EM DOBRO (EAREsp 676.608/RS). DANO MORAL. TUTELA DE URGÊNCIA.</w:t>
      </w:r>
    </w:p>
    <w:p>
      <w:pPr>
        <w:spacing w:after="120" w:line="360" w:lineRule="auto"/>
        <w:jc w:val="left"/>
      </w:pPr>
      <w:r>
        <w:rPr>
          <w:b/>
          <w:i w:val="0"/>
        </w:rPr>
        <w:t>I — DAS PRELIMINARES</w:t>
      </w:r>
    </w:p>
    <w:p>
      <w:pPr>
        <w:spacing w:after="120" w:line="360" w:lineRule="auto"/>
        <w:jc w:val="left"/>
      </w:pPr>
      <w:r>
        <w:rPr>
          <w:b/>
          <w:i w:val="0"/>
        </w:rPr>
        <w:t>I.1. Da gratuidade da justiça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parte Autora é beneficiária do INSS e declara, em documento anexo (declaração de hipossuficiência), não possuir condições de arcar com as custas e despesas do processo sem prejuízo do próprio sustento e de sua família, circunstância reforçada pelo fato de residir em unidade consumidora enquadrada na classe residencial baixa renda (Tarifa Social de Energia Elétrica), conforme comprovante de residência anexo. Requer-se a gratuidade da justiça (arts. 98 e 99, CPC; art. 5.º, LXXIV, CF/88), inclusive para eventual fase recursal.</w:t>
      </w:r>
    </w:p>
    <w:p>
      <w:pPr>
        <w:spacing w:after="120" w:line="360" w:lineRule="auto"/>
        <w:jc w:val="left"/>
      </w:pPr>
      <w:r>
        <w:rPr>
          <w:b/>
          <w:i w:val="0"/>
        </w:rPr>
        <w:t>I.2. Do desinteresse na audiência de conciliação e mediação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parte Autora manifesta expresso desinteresse na audiência do art. 334 do CPC (§5.º), em atenção à razoável duração do processo (art. 5.º, LXXVIII, CF/88) e à natureza contínua da cobrança, que se renova a cada mês. Requer-se a imediata instrução e julgamento do feito.</w:t>
      </w:r>
    </w:p>
    <w:p>
      <w:pPr>
        <w:spacing w:after="120" w:line="360" w:lineRule="auto"/>
        <w:jc w:val="left"/>
      </w:pPr>
      <w:r>
        <w:rPr>
          <w:b/>
          <w:i w:val="0"/>
        </w:rPr>
        <w:t>I.3. Do foro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A parte Autora é domiciliada em Rio Largo/AL. Esclarece-se que, nos termos do art. 101, I, do CDC, é facultado ao consumidor demandar no foro do seu domicílio, o que se ressalva expressamente, sem prejuízo do processamento perante este Juízo. </w:t>
      </w:r>
      <w:r>
        <w:rPr>
          <w:b/>
          <w:i w:val="0"/>
          <w:highlight w:val="yellow"/>
        </w:rPr>
        <w:t>[PREENCHER: confirmar o foro de ajuizamento (Salvador/BA ou Rio Largo/AL) antes do protocolo.]</w:t>
      </w:r>
    </w:p>
    <w:p>
      <w:pPr>
        <w:spacing w:after="120" w:line="360" w:lineRule="auto"/>
        <w:jc w:val="left"/>
      </w:pPr>
      <w:r>
        <w:rPr>
          <w:b/>
          <w:i w:val="0"/>
        </w:rPr>
        <w:t>I.4. Do julgamento antecipado do mérito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matéria é eminentemente documental: a tela de detalhamento do contrato, a série histórica do BACEN, a Memória de Cálculo (Doc.) e, após a exibição incidental, o próprio contrato e o comprovante de liberação do crédito. Requer-se o julgamento antecipado da lide (art. 355, I e II, CPC), inclusive na hipótese de revelia.</w:t>
      </w:r>
    </w:p>
    <w:p>
      <w:pPr>
        <w:spacing w:after="120" w:line="360" w:lineRule="auto"/>
        <w:jc w:val="left"/>
      </w:pPr>
      <w:r>
        <w:rPr>
          <w:b/>
          <w:i w:val="0"/>
        </w:rPr>
        <w:t>II — DOS FATOS</w:t>
      </w:r>
    </w:p>
    <w:p>
      <w:pPr>
        <w:spacing w:after="120" w:line="360" w:lineRule="auto"/>
        <w:jc w:val="left"/>
      </w:pPr>
      <w:r>
        <w:rPr>
          <w:b/>
          <w:i w:val="0"/>
        </w:rPr>
        <w:t>II.1. Da contratação e da inconsistência dos números informados pela Ré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A parte Autora, beneficiária do INSS, mantém junto à Ré o empréstimo pessoal de nº </w:t>
      </w:r>
      <w:r>
        <w:rPr>
          <w:b/>
          <w:i w:val="0"/>
        </w:rPr>
        <w:t>462062179</w:t>
      </w:r>
      <w:r>
        <w:rPr>
          <w:b w:val="0"/>
          <w:i w:val="0"/>
        </w:rPr>
        <w:t>, contratado por meio do aplicativo da instituição. A Autora não dispõe do instrumento contratual (CCB) — que nunca lhe foi entregue — nem do comprovante de liberação do crédito, mas apenas da tela de detalhamento do contrato exibida no aplicativo (Doc.), da qual constam os seguintes dados: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/>
                <w:i w:val="0"/>
              </w:rPr>
              <w:t>ITEM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/>
                <w:i w:val="0"/>
              </w:rPr>
              <w:t>VALOR INFORMADO NA TELA DO APLICATIVO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Contrato nº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462062179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Valor solicitado + IOF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R$ 769,30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IOF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R$ 33,77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Parcelamento / valor da parcela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18 meses / R$ 517,10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Próxima cobrança / parcelas restantes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06/10/2026 / 17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Taxa de juros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15,99% a.m. (493,1% a.a.)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CET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17,55% a.m. (615,66% a.a.)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Valor total a ser pago (18 x R$ 517,10)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R$ 9.307,80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Falta pagar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R$ 8.790,70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Nº do benefício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campo em branco na tela</w:t>
            </w:r>
          </w:p>
        </w:tc>
      </w:tr>
    </w:tbl>
    <w:p/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tela, porém, é internamente incoerente, e a incoerência é a primeira prova da opacidade da operação. Como demonstra a Memória de Cálculo (Doc.): (i) a taxa de 15,99% a.m., aplicada a um capital de R$ 769,30 em 18 parcelas, geraria prestação de aproximadamente R$ 132,16, e não de R$ 517,10; (ii) para que 18 parcelas de R$ 517,10 amortizem R$ 769,30, a taxa efetiva teria de ser de cerca de 67,21% a.m.; e (iii) a taxa de 15,99% a.m. e a parcela de R$ 517,10 só são compatíveis entre si se o capital financiado for de aproximadamente R$ 3.009,94. Se o capital líquido efetivamente recebido foi de R$ 769,30, o consumidor pagará R$ 9.307,80, isto é, cerca de 12,10 vezes o que recebeu. Se foi de R$ 3.009,94, o valor "solicitado" informado na tela não corresponde ao crédito liberado. Em qualquer hipótese, há informação defeituosa (art. 6.º, III, e art. 31, CDC), que só o contrato e o comprovante de liberação (TED/crédito em conta) podem esclarecer — e ambos estão exclusivamente em poder da Ré.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Para não se valer de premissa que favoreça a si mesma de forma não comprovada, a Memória de Cálculo adota como </w:t>
      </w:r>
      <w:r>
        <w:rPr>
          <w:b/>
          <w:i w:val="0"/>
        </w:rPr>
        <w:t>base principal</w:t>
      </w:r>
      <w:r>
        <w:rPr>
          <w:b w:val="0"/>
          <w:i w:val="0"/>
        </w:rPr>
        <w:t xml:space="preserve"> (conservadora) o capital de R$ 3.009,94, compatível com a parcela e a taxa informadas, e apresenta o capital de R$ 769,30 como </w:t>
      </w:r>
      <w:r>
        <w:rPr>
          <w:b/>
          <w:i w:val="0"/>
        </w:rPr>
        <w:t>cenário alternativo</w:t>
      </w:r>
      <w:r>
        <w:rPr>
          <w:b w:val="0"/>
          <w:i w:val="0"/>
        </w:rPr>
        <w:t>, a ser confirmado após a exibição dos documentos.</w:t>
      </w:r>
    </w:p>
    <w:p>
      <w:pPr>
        <w:spacing w:after="120" w:line="360" w:lineRule="auto"/>
        <w:jc w:val="left"/>
      </w:pPr>
      <w:r>
        <w:rPr>
          <w:b/>
          <w:i w:val="0"/>
        </w:rPr>
        <w:t>II.2. Da opacidade contratual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parte Autora não recebeu cópia do instrumento contratual, não conhece com exatidão a data da contratação, o capital efetivamente liberado, o CET contratado nem o saldo devedor. A taxa de 15,99% a.m. constante da tela corresponde a 2,50 vezes a taxa média de mercado divulgada pelo Banco Central do Brasil para a modalidade, de 6,39% a.m. (110,29% a.a.) na competência de agosto/2026 (competência inferida, a confirmar com a data de contratação), e a 1,67 vez o limite de 1,5 vez a média (9,585% a.m.) a partir do qual a jurisprudência presume a abusividade.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Há ainda indício de capitalização de juros: 15,99% ao mês, multiplicados por doze, resultam em 191,88% ao ano, ao passo que a tela informa 493,1% ao ano, diferença só explicada pela capitalização composta, cuja pactuação expressa deverá ser verificada no instrumento (Súmulas 541/STJ e 121/STF).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Ressalte-se, por lealdade, que a tela não identifica a forma de cobrança nem a data de assinatura do contrato, e que a Memória de Cálculo parte da premissa, a confirmar por extrato bancário ou contracheque/HISCRE, de que a primeira parcela, vencida em 06/09/2026 (data inferida pela próxima cobrança de 06/10/2026 e pelas 17 parcelas restantes), já foi paga. </w:t>
      </w:r>
      <w:r>
        <w:rPr>
          <w:b/>
          <w:i w:val="0"/>
          <w:highlight w:val="yellow"/>
        </w:rPr>
        <w:t>[PREENCHER: juntar extrato/HISCRE e confirmar a forma de cobrança (desconto em benefício ou em conta) e o pagamento das parcelas já vencidas, inclusive a de 06/10/2026.]</w:t>
      </w:r>
    </w:p>
    <w:p>
      <w:pPr>
        <w:spacing w:after="120" w:line="360" w:lineRule="auto"/>
        <w:jc w:val="left"/>
      </w:pPr>
      <w:r>
        <w:rPr>
          <w:b/>
          <w:i w:val="0"/>
        </w:rPr>
        <w:t>III — DO PEDIDO INCIDENTAL DE EXIBIÇÃO DE CONTRATO E DO COMPROVANTE DE LIBERAÇÃO DO CRÉDITO</w:t>
      </w:r>
    </w:p>
    <w:p>
      <w:pPr>
        <w:spacing w:after="120" w:line="360" w:lineRule="auto"/>
        <w:jc w:val="left"/>
      </w:pPr>
      <w:r>
        <w:rPr>
          <w:b/>
          <w:i w:val="0"/>
        </w:rPr>
        <w:t>III.1. Do cabimento — arts. 396 a 399 do CPC e o direito à informação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Requer-se, incidentalmente, que a Ré seja intimada a exibir: (a) o instrumento contratual (CCB/contrato) do empréstimo nº 462062179, com a discriminação de taxas, CET, IOF, tarifas, seguros eventualmente embutidos, prazo, parcelas pagas, vincendas e saldo devedor; e (b) o </w:t>
      </w:r>
      <w:r>
        <w:rPr>
          <w:b/>
          <w:i w:val="0"/>
        </w:rPr>
        <w:t>comprovante de liberação do crédito (TED ou crédito em conta)</w:t>
      </w:r>
      <w:r>
        <w:rPr>
          <w:b w:val="0"/>
          <w:i w:val="0"/>
        </w:rPr>
        <w:t>, com data, valor e conta de destino, nos termos dos arts. 396 a 399 do CPC. O pedido não é mera faculdade probatória: é a via processual de um direito material. O consumidor tem direito à informação adequada e clara sobre o serviço contratado (art. 6.º, III, CDC), e o fornecedor tem o dever correlato de documentar e entregar a contratação.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exibição do comprovante de liberação é indispensável para esclarecer a inconsistência descrita no item II.1: somente com a data e o valor efetivamente creditados será possível definir o capital financiado (R$ 769,30 ou R$ 3.009,94), a data de contratação (e, portanto, a taxa média aplicável) e a eventual existência de refinanciamento, tarifas ou seguros embutidos.</w:t>
      </w:r>
    </w:p>
    <w:p>
      <w:pPr>
        <w:spacing w:after="120" w:line="360" w:lineRule="auto"/>
        <w:jc w:val="left"/>
      </w:pPr>
      <w:r>
        <w:rPr>
          <w:b/>
          <w:i w:val="0"/>
        </w:rPr>
        <w:t>III.2. Da desnecessidade de requerimento administrativo prévio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Preveja-se e afaste-se a preliminar de estilo de ausência de interesse processual por falta de prévio requerimento administrativo. A exigência aplica-se à ação autônoma de exibição de documentos; o pedido incidental, formulado no bojo da ação revisional como técnica instrutória, funda-se diretamente nos arts. 396 e seguintes do CPC e dela independe. Nesse sentido:</w:t>
      </w:r>
    </w:p>
    <w:p>
      <w:pPr>
        <w:spacing w:after="160" w:line="240" w:lineRule="auto"/>
        <w:ind w:left="2268"/>
        <w:jc w:val="both"/>
      </w:pPr>
      <w:r>
        <w:rPr>
          <w:b w:val="0"/>
          <w:i w:val="0"/>
        </w:rPr>
        <w:t>"AGRAVO DE INSTRUMENTO. AÇÃO REVISIONAL. EXIBIÇÃO INCIDENTAL DE DOCUMENTOS. É desnecessário o requerimento administrativo prévio de exibição de contrato na ação revisional, quando há pedido incidental de exibição amparado nos artigos 396 e 399 do Código de Processo Civil, cuja falta não justifica a extinção do processo, sem resolução do mérito, por ausência de interesse processual." (TJMG, AI 1.0000.18.008471-7/003, 15.ª Câmara Cível, Rel. Des. Maurílio Gabriel, j. 02/07/2021)</w:t>
      </w:r>
    </w:p>
    <w:p>
      <w:pPr>
        <w:spacing w:after="160" w:line="240" w:lineRule="auto"/>
        <w:ind w:left="2268"/>
        <w:jc w:val="both"/>
      </w:pPr>
      <w:r>
        <w:rPr>
          <w:b w:val="0"/>
          <w:i w:val="0"/>
        </w:rPr>
        <w:t>"EMENTA: DIREITO PROCESSUAL CIVIL — AÇÃO REVISIONAL DE CONTRATO — REQUERIMENTO DE EXIBIÇÃO INCIDENTAL DO INSTRUMENTO CONTRATUAL — PRÉVIO REQUERIMENTO ADMINISTRATIVO — DESNECESSIDADE (...) O pedido, formulado em ação revisional de contrato, de exibição incidental do instrumento contratual objeto do litígio, encontra fundamento legal no artigo 396 do Código de Processo Civil e não se submete ao requisito de prévio requerimento administrativo." (TJMG, Apelação Cível 1.0000.19.050887-9/001, 9.ª Câmara Cível, Rel. Des. Márcio Idalmo Santos Miranda, j. 09/07/2019)</w:t>
      </w:r>
    </w:p>
    <w:p>
      <w:pPr>
        <w:spacing w:after="120" w:line="360" w:lineRule="auto"/>
        <w:jc w:val="left"/>
      </w:pPr>
      <w:r>
        <w:rPr>
          <w:b/>
          <w:i w:val="0"/>
        </w:rPr>
        <w:t>III.3. Da consequência da não exibição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Se a Ré exibir o contrato e o comprovante, a taxa efetivamente pactuada e o capital liberado serão confrontados com a série do BACEN e a revisão far-se-á sobre dados comprovados. Se não exibir, incidem duas consequências cumulativas: (i) a presunção de veracidade dos fatos que a parte Autora pretendia provar com os documentos (art. 400, I, CPC); e (ii) a aplicação da Súmula 530/STJ:</w:t>
      </w:r>
    </w:p>
    <w:p>
      <w:pPr>
        <w:spacing w:after="160" w:line="240" w:lineRule="auto"/>
        <w:ind w:left="2268"/>
        <w:jc w:val="both"/>
      </w:pPr>
      <w:r>
        <w:rPr>
          <w:b w:val="0"/>
          <w:i w:val="0"/>
        </w:rPr>
        <w:t>"Nos contratos bancários, na impossibilidade de comprovar a taxa de juros efetivamente contratada — por ausência de pactuação ou pela falta de juntada do instrumento aos autos —, aplica-se a taxa média de mercado, divulgada pelo Bacen, praticada nas operações da mesma espécie, salvo se a taxa cobrada for mais vantajosa para o devedor." (Súmula 530/STJ)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Registre-se que a tela do aplicativo informa taxa de 15,99% a.m.; todavia, por não ser o instrumento contratual e por ser incompatível com os demais números da própria tela, não se presta, isoladamente, a comprovar a taxa efetivamente pactuada. Em qualquer dos cenários, o desfecho jurídico converge para a readequação dos encargos à taxa média divulgada pelo BACEN.</w:t>
      </w:r>
    </w:p>
    <w:p>
      <w:pPr>
        <w:spacing w:after="120" w:line="360" w:lineRule="auto"/>
        <w:jc w:val="left"/>
      </w:pPr>
      <w:r>
        <w:rPr>
          <w:b/>
          <w:i w:val="0"/>
        </w:rPr>
        <w:t>IV — DO DIREITO</w:t>
      </w:r>
    </w:p>
    <w:p>
      <w:pPr>
        <w:spacing w:after="120" w:line="360" w:lineRule="auto"/>
        <w:jc w:val="left"/>
      </w:pPr>
      <w:r>
        <w:rPr>
          <w:b/>
          <w:i w:val="0"/>
        </w:rPr>
        <w:t>IV.1. Da aplicabilidade do CDC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aplicação do Código de Defesa do Consumidor às instituições financeiras está sedimentada na Súmula 297/STJ e no julgamento da ADI 2.591 pelo Supremo Tribunal Federal, que reconheceu nas operações bancárias a natureza de serviço do art. 3.º, §2.º, do CDC. Incidem, assim, o direito básico à informação (art. 6.º, III), à modificação de cláusulas desproporcionais (art. 6.º, V), a vedação à vantagem manifestamente excessiva (art. 39, V), a nulidade das cláusulas abusivas (art. 51) e a responsabilidade objetiva (art. 14).</w:t>
      </w:r>
    </w:p>
    <w:p>
      <w:pPr>
        <w:spacing w:after="120" w:line="360" w:lineRule="auto"/>
        <w:jc w:val="left"/>
      </w:pPr>
      <w:r>
        <w:rPr>
          <w:b/>
          <w:i w:val="0"/>
        </w:rPr>
        <w:t>IV.2. Da função social do contrato e da relativização do pacta sunt servanda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defesa invocará a força obrigatória do contrato. Mas o instrumento jamais foi entregue à Autora, e a invocação do pacta sunt servanda por quem não entrega o próprio pacto é contradição que não se sustenta. Ainda que o instrumento venha aos autos, a força obrigatória encontra os limites da função social do contrato (art. 421, CC), da boa-fé objetiva (art. 422, CC) e do direito do consumidor à modificação das cláusulas que estabeleçam prestações desproporcionais (art. 6.º, V, CDC).</w:t>
      </w:r>
    </w:p>
    <w:p>
      <w:pPr>
        <w:spacing w:after="120" w:line="360" w:lineRule="auto"/>
        <w:jc w:val="left"/>
      </w:pPr>
      <w:r>
        <w:rPr>
          <w:b/>
          <w:i w:val="0"/>
        </w:rPr>
        <w:t>IV.3. Da abusividade dos juros — o parâmetro objetivo do STJ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No REsp 1.061.530/RS (Rel. Min. Nancy Andrighi, recursos repetitivos, Tema 27), a Segunda Seção do STJ adotou como referencial a taxa média de mercado divulgada pelo Banco Central, e a jurisprudência consolidou a régua de uma vez e meia a média como fronteira da presunção de abusividade. No caso, a taxa informada (15,99% a.m.) equivale a 2,50 vezes a média de 6,39% a.m. e a 1,67 vez o limite de 9,585% a.m.; o CET informado (17,55% a.m.; 615,66% a.a.) é ainda superior.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Registre-se com precisão o que a parte Autora pede: não se pede tabelamento nem a reescrita voluntarista do contrato. Pede-se a </w:t>
      </w:r>
      <w:r>
        <w:rPr>
          <w:b/>
          <w:i w:val="0"/>
        </w:rPr>
        <w:t>readequação dos encargos à taxa média de mercado divulgada pelo BACEN para a modalidade e período, pelo Sistema Francês de Amortização, vedada a capitalização em taxa superior à média</w:t>
      </w:r>
      <w:r>
        <w:rPr>
          <w:b w:val="0"/>
          <w:i w:val="0"/>
        </w:rPr>
        <w:t>, mantidos o capital e o prazo. A pretensão é a mais conservadora possível: que a Ré receba o que o mercado, em média, recebia.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A Memória de Cálculo (Doc.) demonstra, com a taxa média de 6,39% a.m.: (i) na base principal (capital de R$ 3.009,94), prestação revisada de </w:t>
      </w:r>
      <w:r>
        <w:rPr>
          <w:b/>
          <w:i w:val="0"/>
        </w:rPr>
        <w:t>R$ 286,18</w:t>
      </w:r>
      <w:r>
        <w:rPr>
          <w:b w:val="0"/>
          <w:i w:val="0"/>
        </w:rPr>
        <w:t>, valor incontroverso total de R$ 5.151,33 e excesso mensal de R$ 230,92; e (ii) no cenário alternativo (capital de R$ 769,30), prestação revisada de R$ 73,14, valor incontroverso total de R$ 1.316,61 e excesso mensal de R$ 443,96.</w:t>
      </w:r>
    </w:p>
    <w:p>
      <w:pPr>
        <w:spacing w:after="120" w:line="360" w:lineRule="auto"/>
        <w:jc w:val="left"/>
      </w:pPr>
      <w:r>
        <w:rPr>
          <w:b/>
          <w:i w:val="0"/>
        </w:rPr>
        <w:t>IV.4. Da ausência de risco que justifique o spread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Antecipe-se a defesa do "risco da operação". A taxa média do BACEN já embute o risco médio das operações da espécie, inclusive o de inadimplência. Exceder largamente essa média, sem demonstrar risco específico, é vantagem manifestamente excessiva (art. 39, V, CDC); a instituição que pretenda justificar seus encargos que apresente os elementos da operação, ônus que lhe cabe.</w:t>
      </w:r>
    </w:p>
    <w:p>
      <w:pPr>
        <w:spacing w:after="120" w:line="360" w:lineRule="auto"/>
        <w:jc w:val="left"/>
      </w:pPr>
      <w:r>
        <w:rPr>
          <w:b/>
          <w:i w:val="0"/>
        </w:rPr>
        <w:t>IV.5. Do distinguishing frente ao Tema 1378/STJ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Registre-se, por lealdade processual, que a Segunda Seção do STJ afetou ao rito dos repetitivos o Tema 1378, para definir se a taxa média do BACEN basta como fundamento exclusivo da aferição de abusividade dos juros. Esta causa não depende do desfecho do repetitivo, por três razões. Primeira: a suspensão determinada na afetação alcança recursos especiais e agravos em recurso especial (art. 1.037, II, CPC), e não paralisa o primeiro grau. Segunda: a Súmula 530/STJ opera em campo distinto, pois manda aplicar a taxa média quando a taxa contratada não se comprova, por ausência de pactuação ou falta de juntada do instrumento. Terceira: ainda que o contrato venha aos autos, a taxa média é empregada como referencial (Tema 27), e não como fundamento exclusivo: a desvantagem exagerada decorre também de circunstâncias concretas documentadas, como a taxa de 2,50 vezes a média, o CET de 615,66% ao ano, o custo total de R$ 9.307,80 para crédito cujo valor solicitado é de R$ 769,30, a incoerência entre os números da própria tela e o instrumento nunca entregue à consumidora.</w:t>
      </w:r>
    </w:p>
    <w:p>
      <w:pPr>
        <w:spacing w:after="120" w:line="360" w:lineRule="auto"/>
        <w:jc w:val="left"/>
      </w:pPr>
      <w:r>
        <w:rPr>
          <w:b/>
          <w:i w:val="0"/>
        </w:rPr>
        <w:t>IV.6. Da vulnerabilidade da consumidora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A Autora é beneficiária do INSS e consumidora de baixa renda (Tarifa Social de Energia Elétrica), em relação de manifesta assimetria de informação e de poder econômico frente à instituição financeira. Parcela de R$ 517,10 por 18 meses, para crédito cujo valor solicitado informado é de R$ 769,30, compromete parcela significativa da renda de quem depende de benefício previdenciário, </w:t>
      </w:r>
      <w:r>
        <w:rPr>
          <w:b/>
          <w:i w:val="0"/>
          <w:highlight w:val="yellow"/>
        </w:rPr>
        <w:t>[PREENCHER: informar o valor do benefício e o percentual comprometido, se comprovado por extrato/HISCRE]</w:t>
      </w:r>
      <w:r>
        <w:rPr>
          <w:b w:val="0"/>
          <w:i w:val="0"/>
        </w:rPr>
        <w:t>, e constitui circunstância a ser considerada na avaliação do perigo de dano e do dano moral.</w:t>
      </w:r>
    </w:p>
    <w:p>
      <w:pPr>
        <w:spacing w:after="120" w:line="360" w:lineRule="auto"/>
        <w:jc w:val="left"/>
      </w:pPr>
      <w:r>
        <w:rPr>
          <w:b/>
          <w:i w:val="0"/>
        </w:rPr>
        <w:t>IV.7. Da inversão do ônus da prova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Ré detém toda a documentação da operação, e a Autora não possui sequer o contrato. A inversão do ônus da prova (art. 6.º, VIII, CDC) é a forma de equalizar a relação. Requer-se a inversão desde o mandado de citação, cabendo à Ré apresentar o contrato, o comprovante de liberação do crédito e a discriminação detalhada de taxas, CET, parcelas pagas, vincendas e saldo devedor.</w:t>
      </w:r>
    </w:p>
    <w:p>
      <w:pPr>
        <w:spacing w:after="120" w:line="360" w:lineRule="auto"/>
        <w:jc w:val="left"/>
      </w:pPr>
      <w:r>
        <w:rPr>
          <w:b/>
          <w:i w:val="0"/>
        </w:rPr>
        <w:t>IV.8. Da tutela de urgência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A probabilidade do direito emerge da taxa informada (2,50 vezes a média do BACEN), do CET de 615,66% ao ano e da incoerência entre o valor solicitado, a parcela e a taxa informadas pela própria Ré. O perigo de dano decorre da cobrança mensal de R$ 517,10, cuja próxima parcela venceu em 06/10/2026 e com 17 parcelas vincendas, a cada uma das quais corresponde excesso de, no mínimo, R$ 230,92 (base principal) sobre o valor revisado. Requer-se tutela de urgência (art. 300, CPC) para limitar as cobranças das parcelas vincendas ao valor de </w:t>
      </w:r>
      <w:r>
        <w:rPr>
          <w:b/>
          <w:i w:val="0"/>
        </w:rPr>
        <w:t>R$ 286,18</w:t>
      </w:r>
      <w:r>
        <w:rPr>
          <w:b w:val="0"/>
          <w:i w:val="0"/>
        </w:rPr>
        <w:t xml:space="preserve">, calculado pela taxa média do BACEN sobre a base principal (Doc.), valor que poderá ser reduzido para R$ 73,14 caso a exibição confirme o capital de R$ 769,30, sob pena de multa diária de R$ 500,00. </w:t>
      </w:r>
      <w:r>
        <w:rPr>
          <w:b/>
          <w:i w:val="0"/>
          <w:highlight w:val="yellow"/>
        </w:rPr>
        <w:t>[PREENCHER: confirmar a forma de cobrança (desconto em benefício/conta) para direcionar a ordem.]</w:t>
      </w:r>
    </w:p>
    <w:p>
      <w:pPr>
        <w:spacing w:after="120" w:line="360" w:lineRule="auto"/>
        <w:jc w:val="left"/>
      </w:pPr>
      <w:r>
        <w:rPr>
          <w:b/>
          <w:i w:val="0"/>
        </w:rPr>
        <w:t>V — DOS DANOS</w:t>
      </w:r>
    </w:p>
    <w:p>
      <w:pPr>
        <w:spacing w:after="120" w:line="360" w:lineRule="auto"/>
        <w:jc w:val="left"/>
      </w:pPr>
      <w:r>
        <w:rPr>
          <w:b/>
          <w:i w:val="0"/>
        </w:rPr>
        <w:t>V.1. Da repetição do indébito em dobro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Os valores pagos acima do recálculo pela taxa média de mercado devem ser restituídos em dobro (art. 42, parágrafo único, CDC). Conforme a Corte Especial do STJ:</w:t>
      </w:r>
    </w:p>
    <w:p>
      <w:pPr>
        <w:spacing w:after="160" w:line="240" w:lineRule="auto"/>
        <w:ind w:left="2268"/>
        <w:jc w:val="both"/>
      </w:pPr>
      <w:r>
        <w:rPr>
          <w:b w:val="0"/>
          <w:i w:val="0"/>
        </w:rPr>
        <w:t>"A restituição em dobro do indébito (parágrafo único do artigo 42 do CDC) independe da natureza do elemento volitivo do fornecedor que cobrou valor indevido, revelando-se cabível quando a cobrança indevida consubstanciar conduta contrária à boa-fé objetiva." (STJ, Corte Especial, EAREsp 676.608/RS, Rel. Min. Og Fernandes, j. 21/10/2020)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Segundo a Memória de Cálculo (Doc.), considerando paga apenas a primeira parcela (premissa a confirmar), o excesso é de R$ 230,92, que em dobro corresponde a </w:t>
      </w:r>
      <w:r>
        <w:rPr>
          <w:b/>
          <w:i w:val="0"/>
        </w:rPr>
        <w:t>R$ 461,83</w:t>
      </w:r>
      <w:r>
        <w:rPr>
          <w:b w:val="0"/>
          <w:i w:val="0"/>
        </w:rPr>
        <w:t xml:space="preserve">. As parcelas vincendas não geram repetição até que sejam pagas; </w:t>
      </w:r>
      <w:r>
        <w:rPr>
          <w:b/>
          <w:i w:val="0"/>
        </w:rPr>
        <w:t>a tabela será atualizada a cada desconto</w:t>
      </w:r>
      <w:r>
        <w:rPr>
          <w:b w:val="0"/>
          <w:i w:val="0"/>
        </w:rPr>
        <w:t>. Caso todas as 18 parcelas venham a ser pagas, a projeção é de excesso de R$ 4.156,47 (R$ 8.312,94 em dobro) na base principal, valor que, no cenário alternativo (capital de R$ 769,30), seria de R$ 15.982,38 em dobro. A restituição será feita com correção monetária desde cada desembolso e juros de mora desde a citação, com apuração definitiva em liquidação.</w:t>
      </w:r>
    </w:p>
    <w:p>
      <w:pPr>
        <w:spacing w:after="120" w:line="360" w:lineRule="auto"/>
        <w:jc w:val="left"/>
      </w:pPr>
      <w:r>
        <w:rPr>
          <w:b/>
          <w:i w:val="0"/>
        </w:rPr>
        <w:t>V.2. Do dano moral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O dano moral decorre da conduta da Ré em cobrar de consumidora de baixa renda, beneficiária do INSS, prestação mensal de R$ 517,10 com base em contratação que não lhe foi documentada, com taxa 2,50 vezes superior à média e números internamente incoerentes, sem lhe entregar o contrato nem o comprovante da liberação do crédito, o que a impede de conhecer e conferir o próprio débito. Soma-se o desvio produtivo: a Autora precisou buscar orientação jurídica, reunir documentos e acionar o Judiciário para obter a transparência que lhe era devida espontaneamente.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Na quantificação, adota-se o método bifásico do STJ, considerando a vulnerabilidade da consumidora, o porte econômico da Ré e o caráter pedagógico da indenização. Requer-se a fixação em </w:t>
      </w:r>
      <w:r>
        <w:rPr>
          <w:b/>
          <w:i w:val="0"/>
        </w:rPr>
        <w:t>R$ 10.000,00 (dez mil reais)</w:t>
      </w:r>
      <w:r>
        <w:rPr>
          <w:b w:val="0"/>
          <w:i w:val="0"/>
        </w:rPr>
        <w:t>, patamar que compensa a lesão sem enriquecer a vítima e adverte a fornecedora sem confiscá-la.</w:t>
      </w:r>
    </w:p>
    <w:p>
      <w:pPr>
        <w:spacing w:after="120" w:line="360" w:lineRule="auto"/>
        <w:jc w:val="left"/>
      </w:pPr>
      <w:r>
        <w:rPr>
          <w:b/>
          <w:i w:val="0"/>
        </w:rPr>
        <w:t>VI — DOS PEDIDOS</w:t>
      </w:r>
    </w:p>
    <w:p>
      <w:pPr>
        <w:spacing w:after="160" w:line="360" w:lineRule="auto"/>
        <w:jc w:val="both"/>
      </w:pPr>
      <w:r>
        <w:rPr>
          <w:b w:val="0"/>
          <w:i w:val="0"/>
        </w:rPr>
        <w:t>Ante todo o exposto, requer-se a Vossa Excelência:</w:t>
      </w:r>
    </w:p>
    <w:p>
      <w:pPr>
        <w:spacing w:after="160" w:line="360" w:lineRule="auto"/>
        <w:jc w:val="both"/>
      </w:pPr>
      <w:r>
        <w:rPr>
          <w:b w:val="0"/>
          <w:i w:val="0"/>
        </w:rPr>
        <w:t>a) a concessão da gratuidade da justiça para as instâncias de 1.º e 2.º graus (arts. 98 e 99, CPC);</w:t>
      </w:r>
    </w:p>
    <w:p>
      <w:pPr>
        <w:spacing w:after="160" w:line="360" w:lineRule="auto"/>
        <w:jc w:val="both"/>
      </w:pPr>
      <w:r>
        <w:rPr>
          <w:b w:val="0"/>
          <w:i w:val="0"/>
        </w:rPr>
        <w:t>b) a não designação de audiência de conciliação e mediação (art. 334, §5.º, CPC);</w:t>
      </w:r>
    </w:p>
    <w:p>
      <w:pPr>
        <w:spacing w:after="160" w:line="360" w:lineRule="auto"/>
        <w:jc w:val="both"/>
      </w:pPr>
      <w:r>
        <w:rPr>
          <w:b w:val="0"/>
          <w:i w:val="0"/>
        </w:rPr>
        <w:t>c) a concessão de TUTELA DE URGÊNCIA para limitar as cobranças das parcelas vincendas do contrato nº 462062179 ao valor de R$ 286,18, calculado pela taxa média do BACEN, ou outro valor que o Juízo entender adequado após a exibição dos documentos, sob pena de multa diária de R$ 500,00;</w:t>
      </w:r>
    </w:p>
    <w:p>
      <w:pPr>
        <w:spacing w:after="160" w:line="360" w:lineRule="auto"/>
        <w:jc w:val="both"/>
      </w:pPr>
      <w:r>
        <w:rPr>
          <w:b w:val="0"/>
          <w:i w:val="0"/>
        </w:rPr>
        <w:t>d) a inversão do ônus da prova (art. 6.º, VIII, CDC), já no mandado de citação;</w:t>
      </w:r>
    </w:p>
    <w:p>
      <w:pPr>
        <w:spacing w:after="160" w:line="360" w:lineRule="auto"/>
        <w:jc w:val="both"/>
      </w:pPr>
      <w:r>
        <w:rPr>
          <w:b w:val="0"/>
          <w:i w:val="0"/>
        </w:rPr>
        <w:t>e) a intimação da Ré para exibir incidentalmente, no prazo de 5 (cinco) dias, o instrumento contratual do contrato nº 462062179, com discriminação de taxas, CET, IOF, tarifas e seguros, parcelas pagas, vincendas e saldo devedor, e o comprovante de liberação do crédito (TED/crédito em conta), com data, valor e conta de destino (arts. 396 a 399, CPC), sob pena de presunção de veracidade dos fatos alegados (art. 400, I, CPC) e de aplicação da Súmula 530/STJ;</w:t>
      </w:r>
    </w:p>
    <w:p>
      <w:pPr>
        <w:spacing w:after="160" w:line="360" w:lineRule="auto"/>
        <w:jc w:val="both"/>
      </w:pPr>
      <w:r>
        <w:rPr>
          <w:b w:val="0"/>
          <w:i w:val="0"/>
        </w:rPr>
        <w:t>f) a citação da Ré para, querendo, contestar, sob pena de revelia e confissão (art. 344, CPC);</w:t>
      </w:r>
    </w:p>
    <w:p>
      <w:pPr>
        <w:spacing w:after="160" w:line="360" w:lineRule="auto"/>
        <w:jc w:val="both"/>
      </w:pPr>
      <w:r>
        <w:rPr>
          <w:b w:val="0"/>
          <w:i w:val="0"/>
        </w:rPr>
        <w:t>g) a TOTAL PROCEDÊNCIA da demanda (art. 487, I, CPC), com a declaração de abusividade da taxa praticada e a revisão do contrato, readequando-se os encargos à taxa média de mercado divulgada pelo BACEN para a modalidade e período (6,39% a.m., competência de agosto/2026, a confirmar com a data da contratação), pelo Sistema Francês de Amortização, vedada a capitalização em taxa superior à média, mantidos o capital efetivamente liberado e o prazo;</w:t>
      </w:r>
    </w:p>
    <w:p>
      <w:pPr>
        <w:spacing w:after="160" w:line="360" w:lineRule="auto"/>
        <w:jc w:val="both"/>
      </w:pPr>
      <w:r>
        <w:rPr>
          <w:b w:val="0"/>
          <w:i w:val="0"/>
        </w:rPr>
        <w:t>h) a condenação da Ré à repetição em dobro de todos os valores pagos acima do recálculo (R$ 461,83 até o momento, conforme Memória de Cálculo, a atualizar a cada parcela paga), com correção monetária desde cada desembolso e juros de mora desde a citação (art. 42, parágrafo único, CDC; EAREsp 676.608/RS);</w:t>
      </w:r>
    </w:p>
    <w:p>
      <w:pPr>
        <w:spacing w:after="160" w:line="360" w:lineRule="auto"/>
        <w:jc w:val="both"/>
      </w:pPr>
      <w:r>
        <w:rPr>
          <w:b w:val="0"/>
          <w:i w:val="0"/>
        </w:rPr>
        <w:t>i) a condenação da Ré ao pagamento de indenização por danos morais no valor de R$ 10.000,00 (dez mil reais);</w:t>
      </w:r>
    </w:p>
    <w:p>
      <w:pPr>
        <w:spacing w:after="160" w:line="360" w:lineRule="auto"/>
        <w:jc w:val="both"/>
      </w:pPr>
      <w:r>
        <w:rPr>
          <w:b w:val="0"/>
          <w:i w:val="0"/>
        </w:rPr>
        <w:t>j) a condenação da Ré em custas e honorários advocatícios de 20% sobre a condenação (art. 85, §2.º, CPC);</w:t>
      </w:r>
    </w:p>
    <w:p>
      <w:pPr>
        <w:spacing w:after="160" w:line="360" w:lineRule="auto"/>
        <w:jc w:val="both"/>
      </w:pPr>
      <w:r>
        <w:rPr>
          <w:b w:val="0"/>
          <w:i w:val="0"/>
        </w:rPr>
        <w:t>k) a produção de todos os meios de prova em direito admitidos, em especial a documental, a pericial contábil e o depoimento pessoal do representante legal da Ré, sob pena de confissão (art. 369, CPC).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Dá-se à causa o valor de </w:t>
      </w:r>
      <w:r>
        <w:rPr>
          <w:b/>
          <w:i w:val="0"/>
        </w:rPr>
        <w:t>R$ 10.461,83</w:t>
      </w:r>
      <w:r>
        <w:rPr>
          <w:b w:val="0"/>
          <w:i w:val="0"/>
        </w:rPr>
        <w:t xml:space="preserve"> (dez mil, quatrocentos e sessenta e um reais e oitenta e três centavos), correspondente à soma da repetição em dobro já realizada (R$ 461,83, com uma parcela paga, a confirmar) e da indenização por danos morais (R$ 10.000,00), sem prejuízo de aditamento caso se comprove o pagamento de novas parcelas.</w:t>
      </w:r>
    </w:p>
    <w:p>
      <w:pPr>
        <w:spacing w:after="120" w:line="360" w:lineRule="auto"/>
        <w:jc w:val="left"/>
      </w:pPr>
      <w:r>
        <w:rPr>
          <w:b/>
          <w:i w:val="0"/>
        </w:rPr>
        <w:t>VII — DOS DOCUMENTOS</w:t>
      </w:r>
    </w:p>
    <w:p>
      <w:pPr>
        <w:spacing w:after="40" w:line="360" w:lineRule="auto"/>
        <w:jc w:val="both"/>
      </w:pPr>
      <w:r>
        <w:rPr>
          <w:b w:val="0"/>
          <w:i w:val="0"/>
        </w:rPr>
        <w:t>1. Procuração e declaração de hipossuficiência;</w:t>
      </w:r>
    </w:p>
    <w:p>
      <w:pPr>
        <w:spacing w:after="40" w:line="360" w:lineRule="auto"/>
        <w:jc w:val="both"/>
      </w:pPr>
      <w:r>
        <w:rPr>
          <w:b w:val="0"/>
          <w:i w:val="0"/>
        </w:rPr>
        <w:t>2. Documento de identidade (RG/CIN) e CPF;</w:t>
      </w:r>
    </w:p>
    <w:p>
      <w:pPr>
        <w:spacing w:after="40" w:line="360" w:lineRule="auto"/>
        <w:jc w:val="both"/>
      </w:pPr>
      <w:r>
        <w:rPr>
          <w:b w:val="0"/>
          <w:i w:val="0"/>
        </w:rPr>
        <w:t>3. Comprovante de residência;</w:t>
      </w:r>
    </w:p>
    <w:p>
      <w:pPr>
        <w:spacing w:after="40" w:line="360" w:lineRule="auto"/>
        <w:jc w:val="both"/>
      </w:pPr>
      <w:r>
        <w:rPr>
          <w:b w:val="0"/>
          <w:i w:val="0"/>
        </w:rPr>
        <w:t>4. Tela de detalhamento do contrato nº 462062179 (aplicativo do Banco BMG);</w:t>
      </w:r>
    </w:p>
    <w:p>
      <w:pPr>
        <w:spacing w:after="40" w:line="360" w:lineRule="auto"/>
        <w:jc w:val="both"/>
      </w:pPr>
      <w:r>
        <w:rPr>
          <w:b w:val="0"/>
          <w:i w:val="0"/>
        </w:rPr>
        <w:t>5. Laudo de Cálculo Revisional — Memória de Cálculo (Doc.);</w:t>
      </w:r>
    </w:p>
    <w:p>
      <w:pPr>
        <w:spacing w:after="40" w:line="360" w:lineRule="auto"/>
        <w:jc w:val="both"/>
      </w:pPr>
      <w:r>
        <w:rPr>
          <w:b w:val="0"/>
          <w:i w:val="0"/>
        </w:rPr>
        <w:t xml:space="preserve">6. </w:t>
      </w:r>
      <w:r>
        <w:rPr>
          <w:b/>
          <w:i w:val="0"/>
          <w:highlight w:val="yellow"/>
        </w:rPr>
        <w:t>[PREENCHER: extrato bancário/HISCRE comprovando a cobrança das parcelas e o benefício do INSS]</w:t>
      </w:r>
      <w:r>
        <w:rPr>
          <w:b w:val="0"/>
          <w:i w:val="0"/>
        </w:rPr>
        <w:t>.</w:t>
      </w:r>
    </w:p>
    <w:p>
      <w:pPr>
        <w:spacing w:after="160" w:line="360" w:lineRule="auto"/>
        <w:ind w:firstLine="709"/>
        <w:jc w:val="both"/>
      </w:pPr>
    </w:p>
    <w:p>
      <w:pPr>
        <w:spacing w:after="160" w:line="360" w:lineRule="auto"/>
        <w:jc w:val="left"/>
      </w:pPr>
      <w:r>
        <w:rPr>
          <w:b w:val="0"/>
          <w:i w:val="0"/>
        </w:rPr>
        <w:t>Nestes termos,</w:t>
      </w:r>
    </w:p>
    <w:p>
      <w:pPr>
        <w:spacing w:after="160" w:line="360" w:lineRule="auto"/>
        <w:jc w:val="left"/>
      </w:pPr>
      <w:r>
        <w:rPr>
          <w:b w:val="0"/>
          <w:i w:val="0"/>
        </w:rPr>
        <w:t>Pede deferimento.</w:t>
      </w:r>
    </w:p>
    <w:p>
      <w:pPr>
        <w:spacing w:after="160" w:line="360" w:lineRule="auto"/>
        <w:jc w:val="left"/>
      </w:pPr>
      <w:r>
        <w:rPr>
          <w:b w:val="0"/>
          <w:i w:val="0"/>
        </w:rPr>
        <w:t>Salvador/BA, 7 de outubro de 2026.</w:t>
      </w:r>
    </w:p>
    <w:p>
      <w:pPr>
        <w:spacing w:after="160" w:line="360" w:lineRule="auto"/>
        <w:ind w:firstLine="709"/>
        <w:jc w:val="both"/>
      </w:pPr>
    </w:p>
    <w:p>
      <w:pPr>
        <w:spacing w:after="0" w:line="360" w:lineRule="auto"/>
        <w:jc w:val="center"/>
      </w:pPr>
      <w:r>
        <w:rPr>
          <w:b w:val="0"/>
          <w:i w:val="0"/>
        </w:rPr>
        <w:t>______________________________________</w:t>
      </w:r>
    </w:p>
    <w:p>
      <w:pPr>
        <w:spacing w:after="160" w:line="360" w:lineRule="auto"/>
        <w:jc w:val="center"/>
      </w:pPr>
      <w:r>
        <w:rPr>
          <w:b/>
          <w:i w:val="0"/>
        </w:rPr>
        <w:t>CLEYTON DA SILVA BARBOSA - OAB/BA 92.148</w:t>
      </w:r>
    </w:p>
    <w:sectPr w:rsidR="00FC693F" w:rsidRPr="0006063C" w:rsidSect="00034616">
      <w:pgSz w:w="12240" w:h="15840"/>
      <w:pgMar w:top="1701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