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/>
        <w:jc w:val="left"/>
      </w:pPr>
      <w:r>
        <w:rPr>
          <w:b/>
          <w:i w:val="0"/>
        </w:rPr>
        <w:t>EXCELENTÍSSIMO(A) SENHOR(A) DOUTOR(A) JUIZ(A) DE DIREITO DA ___ª VARA CÍVEL DA COMARCA DE CAMAÇARI/BA</w:t>
      </w:r>
    </w:p>
    <w:p>
      <w:pPr>
        <w:spacing w:after="160" w:line="360" w:lineRule="auto"/>
        <w:jc w:val="left"/>
      </w:pPr>
      <w:r>
        <w:rPr>
          <w:b/>
          <w:i/>
        </w:rPr>
        <w:t>Prioridade de tramitação (pessoa idosa, 61 anos — art. 71 da Lei n.º 10.741/2003 e art. 1.048, I, do CPC)</w:t>
      </w:r>
    </w:p>
    <w:p>
      <w:pPr>
        <w:spacing w:after="160" w:line="360" w:lineRule="auto"/>
        <w:jc w:val="both"/>
      </w:pPr>
      <w:r>
        <w:rPr>
          <w:b w:val="0"/>
          <w:i w:val="0"/>
        </w:rPr>
        <w:t>EMENTA: DIREITO DO CONSUMIDOR E DIREITO BANCÁRIO. AÇÃO REVISIONAL INSTRUÍDA COM O PRÓPRIO INSTRUMENTO CONTRATUAL (CCB N.º AR00366256) — PROVA PRÉ-CONSTITUÍDA. EMPRÉSTIMO PESSOAL COM GARANTIA DE VEÍCULO (ALIENAÇÃO FIDUCIÁRIA): R$ 10.000,00 LÍQUIDOS A SEREM DEVOLVIDOS COMO R$ 23.574,48 (24 PARCELAS DE R$ 982,27) — 2,36 VEZES O VALOR RECEBIDO. JUROS DE 5,98% a.m. (100,76% a.a.) EM CONFRONTO COM A TAXA MÉDIA DA MODALIDADE COM GARANTIA. CONTRATO DE ADESÃO (ART. 51, IV E §1.º, III, CDC). TARIFA DE CADASTRO (TEMA 618/STJ), DESPESAS DE REGISTRO (TEMA 958/STJ), HONORÁRIOS DE 20% E COMISSÃO DE COBRANÇA DE 10%. REPETIÇÃO EM DOBRO (EAREsp 676.608/RS). TEMA 27 E TEMA 1378/STJ. TUTELA DE URGÊNCIA.</w:t>
      </w:r>
    </w:p>
    <w:p>
      <w:pPr>
        <w:spacing w:after="160" w:line="360" w:lineRule="auto"/>
        <w:jc w:val="both"/>
      </w:pPr>
      <w:r>
        <w:rPr>
          <w:b w:val="0"/>
          <w:i/>
        </w:rPr>
        <w:t>Consulta pública da taxa média de juros — Banco Central do Brasil: www3.bcb.gov.br/sgspub/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HONESON EVANGELISTA DOS SANTOS</w:t>
      </w:r>
      <w:r>
        <w:rPr>
          <w:b w:val="0"/>
          <w:i w:val="0"/>
        </w:rPr>
        <w:t xml:space="preserve">, brasileiro, </w:t>
      </w:r>
      <w:r>
        <w:rPr>
          <w:b w:val="0"/>
          <w:i w:val="0"/>
          <w:highlight w:val="yellow"/>
        </w:rPr>
        <w:t>[ESTADO CIVIL — confirmar; consta comprovante de residência em nome de Rosane de Souza Santos]</w:t>
      </w:r>
      <w:r>
        <w:rPr>
          <w:b w:val="0"/>
          <w:i w:val="0"/>
        </w:rPr>
        <w:t xml:space="preserve">, </w:t>
      </w:r>
      <w:r>
        <w:rPr>
          <w:b w:val="0"/>
          <w:i w:val="0"/>
          <w:highlight w:val="yellow"/>
        </w:rPr>
        <w:t>[PROFISSÃO]</w:t>
      </w:r>
      <w:r>
        <w:rPr>
          <w:b w:val="0"/>
          <w:i w:val="0"/>
        </w:rPr>
        <w:t xml:space="preserve">, nascido em 05/02/1965, portador do RG n.º 292782799 SSP/BA, inscrito no CPF sob o n.º 296.388.525-34 e titular da CNH n.º 03623952932, e-mail honesonevangelista22@gmail.com, residente e domiciliado na Rua Moreira Cesar, n.º 46, Casa A, Camaçari de Dentro, Camaçari/BA, CEP 42804-501, vem, respeitosamente, por seu advogado infra-assinado (procuração anexa — </w:t>
      </w:r>
      <w:r>
        <w:rPr>
          <w:b w:val="0"/>
          <w:i w:val="0"/>
          <w:highlight w:val="yellow"/>
        </w:rPr>
        <w:t>[JUNTAR PROCURAÇÃO]</w:t>
      </w:r>
      <w:r>
        <w:rPr>
          <w:b w:val="0"/>
          <w:i w:val="0"/>
        </w:rPr>
        <w:t>), à presença de Vossa Excelência, propor a presente</w:t>
      </w:r>
    </w:p>
    <w:p>
      <w:pPr>
        <w:spacing w:after="160" w:line="360" w:lineRule="auto"/>
        <w:jc w:val="center"/>
      </w:pPr>
      <w:r>
        <w:rPr>
          <w:b/>
          <w:i w:val="0"/>
        </w:rPr>
        <w:t>AÇÃO REVISIONAL DE CONTRATO BANCÁRIO C/C DECLARAÇÃO DE NULIDADE DE CLÁUSULAS ABUSIVAS, REPETIÇÃO DE INDÉBITO EM DOBRO, TUTELA DE URGÊNCIA E INDENIZAÇÃO POR DANOS MORAIS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em face de </w:t>
      </w:r>
      <w:r>
        <w:rPr>
          <w:b/>
          <w:i w:val="0"/>
        </w:rPr>
        <w:t>CREDITAS SOCIEDADE DE CRÉDITO DIRETO S.A.</w:t>
      </w:r>
      <w:r>
        <w:rPr>
          <w:b w:val="0"/>
          <w:i w:val="0"/>
        </w:rPr>
        <w:t>, pessoa jurídica de direito privado, inscrita no CNPJ sob o n.º 32.997.490/0001-39, com sede na Avenida das Nações Unidas, n.º 14.261, Espaço 02, 30.º andar da Ala B do Condomínio WT Morumbi, Vila Gertrudes, São Paulo/SP, CEP 04794-000 (endereço extraído do próprio contrato), pelos fundamentos que passa a expor:</w:t>
      </w:r>
    </w:p>
    <w:p>
      <w:pPr>
        <w:spacing w:after="120" w:line="360" w:lineRule="auto"/>
        <w:jc w:val="left"/>
      </w:pPr>
      <w:r>
        <w:rPr>
          <w:b/>
          <w:i w:val="0"/>
        </w:rPr>
        <w:t>CAPÍTULO 1 — PRELIMINARES</w:t>
      </w:r>
    </w:p>
    <w:p>
      <w:pPr>
        <w:spacing w:after="120" w:line="360" w:lineRule="auto"/>
        <w:jc w:val="left"/>
      </w:pPr>
      <w:r>
        <w:rPr>
          <w:b/>
          <w:i w:val="0"/>
        </w:rPr>
        <w:t>1.1. Da prioridade de tramitação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Autor, nascido em 05/02/1965, conta com 61 (sessenta e um) anos de idade, fazendo jus à prioridade de tramitação do feito (art. 71 da Lei n.º 10.741/2003 — Estatuto da Pessoa Idosa — e art. 1.048, I, do CPC), o que desde já se requer, juntando-se documento de identificação.</w:t>
      </w:r>
    </w:p>
    <w:p>
      <w:pPr>
        <w:spacing w:after="120" w:line="360" w:lineRule="auto"/>
        <w:jc w:val="left"/>
      </w:pPr>
      <w:r>
        <w:rPr>
          <w:b/>
          <w:i w:val="0"/>
        </w:rPr>
        <w:t>1.2. Da gratuidade da justiça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O Autor declara não possuir condições de arcar com as custas e despesas do processo sem prejuízo do próprio sustento e o de sua família (declaração de hipossuficiência anexa — </w:t>
      </w:r>
      <w:r>
        <w:rPr>
          <w:b w:val="0"/>
          <w:i w:val="0"/>
          <w:highlight w:val="yellow"/>
        </w:rPr>
        <w:t>[JUNTAR DECLARAÇÃO]</w:t>
      </w:r>
      <w:r>
        <w:rPr>
          <w:b w:val="0"/>
          <w:i w:val="0"/>
        </w:rPr>
        <w:t xml:space="preserve">). A declaração goza de presunção de veracidade (art. 99, §3.º, CPC), sendo a parte consumidora presumivelmente vulnerável. Requer-se a concessão do benefício (arts. 98 e 99 do CPC; art. 5.º, LXXIV, CF/88). </w:t>
      </w:r>
      <w:r>
        <w:rPr>
          <w:b w:val="0"/>
          <w:i w:val="0"/>
          <w:highlight w:val="yellow"/>
        </w:rPr>
        <w:t>[Complementar com a renda/ocupação do Autor, se houver necessidade de comprovação.]</w:t>
      </w:r>
    </w:p>
    <w:p>
      <w:pPr>
        <w:spacing w:after="120" w:line="360" w:lineRule="auto"/>
        <w:jc w:val="left"/>
      </w:pPr>
      <w:r>
        <w:rPr>
          <w:b/>
          <w:i w:val="0"/>
        </w:rPr>
        <w:t>1.3. Do desinteresse na audiência de conciliação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Manifesta-se expresso desinteresse na audiência do art. 334 do CPC (§5.º), em prestígio à razoável duração do processo (art. 5.º, LXXVIII, CF/88).</w:t>
      </w:r>
    </w:p>
    <w:p>
      <w:pPr>
        <w:spacing w:after="120" w:line="360" w:lineRule="auto"/>
        <w:jc w:val="left"/>
      </w:pPr>
      <w:r>
        <w:rPr>
          <w:b/>
          <w:i w:val="0"/>
        </w:rPr>
        <w:t>1.4. Do foro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Autor é domiciliado em Camaçari/BA, e a própria cláusula 9.12 da CCB elege o foro do domicílio do Emitente. A competência é, ainda, assegurada pelo art. 101, I, do CDC.</w:t>
      </w:r>
    </w:p>
    <w:p>
      <w:pPr>
        <w:spacing w:after="120" w:line="360" w:lineRule="auto"/>
        <w:jc w:val="left"/>
      </w:pPr>
      <w:r>
        <w:rPr>
          <w:b/>
          <w:i w:val="0"/>
        </w:rPr>
        <w:t>1.5. Do julgamento antecipado do mérito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instrumento contratual acompanha a inicial, assim como a Memória de Cálculo (Doc.). Taxa pactuada, valores financiados e número de parcelas são fatos documentais; o que resta é operação aritmética e qualificação jurídica. Requer-se, se for o caso, o julgamento antecipado (art. 355, I, CPC), sem prejuízo da produção de prova pericial contábil, caso Vossa Excelência a repute necessária.</w:t>
      </w:r>
    </w:p>
    <w:p>
      <w:pPr>
        <w:spacing w:after="120" w:line="360" w:lineRule="auto"/>
        <w:jc w:val="left"/>
      </w:pPr>
      <w:r>
        <w:rPr>
          <w:b/>
          <w:i w:val="0"/>
        </w:rPr>
        <w:t>CAPÍTULO 2 — DOS FATOS</w:t>
      </w:r>
    </w:p>
    <w:p>
      <w:pPr>
        <w:spacing w:after="120" w:line="360" w:lineRule="auto"/>
        <w:jc w:val="left"/>
      </w:pPr>
      <w:r>
        <w:rPr>
          <w:b/>
          <w:i w:val="0"/>
        </w:rPr>
        <w:t>2.1. Do contrato e de sua estrutura financeira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Em 06/03/2026, por meio eletrônico (plataforma Clicksign), o Autor firmou com a Ré a Cédula de Crédito Bancário n.º AR00366256, empréstimo pessoal com garantia de veículo automotor, mediante alienação fiduciária do veículo Peugeot 308 Feline 2.0 Flex 16V, ano 2012/2013, placa NZQ3285. Receberam-se R$ 10.000,00 via Pix; a Ré, porém, financiou, além do valor líquido, tarifa de cadastro, despesas de registro e IOF, fixando o Valor Total do Crédito em R$ 11.653,71, a ser pago em 24 parcelas mensais de R$ 982,27, com carência de 30 dias (1.ª parcela em 06/05/2026; última em 06/04/2028), sob juros de 5,98% a.m. (100,76% a.a.), capitalizados diariamente, e CET de 7,51% a.m. (138,50% a.a.). A aritmética do contrato: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ELEMENTO DO CONTRATO</w:t>
            </w:r>
          </w:p>
        </w:tc>
        <w:tc>
          <w:tcPr>
            <w:tcW w:type="dxa" w:w="4419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VALOR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líquido liberado (Pix)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R$ 10.000,00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Tarifa de cadastro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R$ 750,00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Despesas de registro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R$ 548,25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IOF financiado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R$ 355,46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Valor Total do Crédito financiado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R$ 11.653,71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a pagar (24 × R$ 982,27)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R$ 23.574,48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Multiplicador sobre o valor líquido recebido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2,36 vezes (acréscimo de 135,74%)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pactuada / CET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5,98% a.m. (100,76% a.a.) / 7,51% a.m. (138,50% a.a.)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Autor recebeu R$ 10.000,00 e obrigou-se a pagar R$ 23.574,48. Do valor financiado, R$ 1.653,71 (14,19%) correspondem a tarifa, registro e IOF, sobre os quais também incidem juros.</w:t>
      </w:r>
    </w:p>
    <w:p>
      <w:pPr>
        <w:spacing w:after="120" w:line="360" w:lineRule="auto"/>
        <w:jc w:val="left"/>
      </w:pPr>
      <w:r>
        <w:rPr>
          <w:b/>
          <w:i w:val="0"/>
        </w:rPr>
        <w:t>2.2. Do confronto com a taxa média de mercado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garantia do contrato é real: o veículo foi alienado fiduciariamente à Ré, que possui, portanto, a propriedade resolúvel do bem e a via da busca e apreensão e da consolidação extrajudicial (cláusulas 3.3 e 3.3.1). A comparação da taxa pactuada deve, por isso, ser feita com a taxa média divulgada pelo Banco Central do Brasil para a modalidade e o período — crédito com garantia —, e não com a de crédito pessoal sem garantia. Conforme a Memória de Cálculo (Doc.), a taxa média de referência para a modalidade com garantia, em março/2026, é de 3,82% a.m., a ser indicada, pela série oficial do BACEN, em liquidação/perícia, se Vossa Excelência assim determinar. O confronto: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PARÂMETRO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CONTRATO</w:t>
            </w:r>
          </w:p>
        </w:tc>
        <w:tc>
          <w:tcPr>
            <w:tcW w:type="dxa" w:w="2946"/>
            <w:shd w:val="clear" w:fill="D9D9D9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/>
                <w:i w:val="0"/>
                <w:sz w:val="22"/>
              </w:rPr>
              <w:t>TAXA MÉDIA DA MODALIDADE (BACEN — MAR/2026)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Taxa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5,98% a.m.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3,82%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Proporção sobre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1,57 vez (56,54% acima)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1,00 (referencial)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Limite de 1,5 vez a média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5,73%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Prestação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R$ 982,27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R$ 778,97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Total do contrato (24 parcelas)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R$ 23.574,48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R$ 18.695,31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mensal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R$ 203,30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Excesso global (24 parcelas)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R$ 4.879,17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—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Recalculado o contrato pela taxa média (Tabela Price, mantidos o valor financiado de R$ 11.653,71, o prazo de 24 meses e a carência de 30 dias, alterando-se somente a taxa), a prestação seria de R$ 778,97, e o total, de R$ 18.695,31 — e não R$ 23.574,48. O excesso global é de R$ 4.879,17.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Ressalva de transparência.</w:t>
      </w:r>
      <w:r>
        <w:rPr>
          <w:b w:val="0"/>
          <w:i w:val="0"/>
        </w:rPr>
        <w:t xml:space="preserve"> Registra-se, com lealdade processual, que a conclusão acima depende de a taxa média pertinente ser a da modalidade de crédito com garantia. Caso se adotasse a taxa média do crédito pessoal não consignado sem garantia, a taxa pactuada situar-se-ia abaixo dessa referência. É precisamente por isso que a causa não se limita a esse critério: apoia-se também nas teses acessórias dos Capítulos 3 e 4 (encargos acessórios e cláusulas de cobrança), que subsistem independentemente da série adotada.</w:t>
      </w:r>
    </w:p>
    <w:p>
      <w:pPr>
        <w:spacing w:after="120" w:line="360" w:lineRule="auto"/>
        <w:jc w:val="left"/>
      </w:pPr>
      <w:r>
        <w:rPr>
          <w:b/>
          <w:i w:val="0"/>
        </w:rPr>
        <w:t>CAPÍTULO 3 — DA ANÁLISE DO INSTRUMENTO CONTRATUAL</w:t>
      </w:r>
    </w:p>
    <w:p>
      <w:pPr>
        <w:spacing w:after="120" w:line="360" w:lineRule="auto"/>
        <w:jc w:val="left"/>
      </w:pPr>
      <w:r>
        <w:rPr>
          <w:b/>
          <w:i w:val="0"/>
        </w:rPr>
        <w:t>3.1. Do contrato de adesão e do controle judicial do conteúdo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CCB é contrato de adesão (art. 54, CDC): formulário predisposto pela Ré, em plataforma eletrônica, sem campo de negociação. Nesses instrumentos, a vontade do aderente reduz-se ao ato de assinar; por isso o legislador deslocou o eixo da proteção para o controle judicial do conteúdo (art. 51, CDC), que ora se requer. A declaração padronizada de que o consumidor “entendeu perfeitamente” todas as cláusulas e de que as prestações são “manifestamente proporcionais” (cláusula 9.9) é cláusula de estilo e não afasta o controle judicial.</w:t>
      </w:r>
    </w:p>
    <w:p>
      <w:pPr>
        <w:spacing w:after="120" w:line="360" w:lineRule="auto"/>
        <w:jc w:val="left"/>
      </w:pPr>
      <w:r>
        <w:rPr>
          <w:b/>
          <w:i w:val="0"/>
        </w:rPr>
        <w:t>3.2. Das cláusulas nulas de pleno direito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art. 51, IV, do CDC comina de nulidade as cláusulas que estabeleçam obrigações iníquas e abusivas, que coloquem o consumidor em desvantagem exagerada, presumindo-se exagerada a vantagem excessivamente onerosa (§1.º, III). Incidem nessa previsão os encargos remuneratórios em patamar superior à taxa média da modalidade com garantia, bem como as cláusulas 3.1.2 (honorários de 20% e comissão de cobrança de 10%) e as cobranças acessórias abaixo impugnadas. A nulidade é de pleno direito, não se convalida pela assinatura nem pelo pagamento das parcelas.</w:t>
      </w:r>
    </w:p>
    <w:p>
      <w:pPr>
        <w:spacing w:after="120" w:line="360" w:lineRule="auto"/>
        <w:jc w:val="left"/>
      </w:pPr>
      <w:r>
        <w:rPr>
          <w:b/>
          <w:i w:val="0"/>
        </w:rPr>
        <w:t>3.3. Da violação do dever de informação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art. 6.º, III, o art. 31, o art. 46 e o art. 52 do CDC impõem informação adequada, clara e prévia nas operações de crédito. Percentuais impressos em formulário eletrônico informam o que dizem, mas ocultam o que significam: o consumidor recebeu R$ 10.000,00 e se obrigou a devolver 2,36 vezes esse valor, mediante juros capitalizados diariamente sobre valor que inclui tarifa, registro e IOF. A informação deve ser aferida pela compreensão efetiva do consumidor concreto.</w:t>
      </w:r>
    </w:p>
    <w:p>
      <w:pPr>
        <w:spacing w:after="120" w:line="360" w:lineRule="auto"/>
        <w:jc w:val="left"/>
      </w:pPr>
      <w:r>
        <w:rPr>
          <w:b/>
          <w:i w:val="0"/>
        </w:rPr>
        <w:t>3.4. Da capitalização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taxa anual informada (100,76% a.a.) supera o duodécuplo da mensal (5,98% × 12 = 71,76% a.a.), em 29,00 pontos percentuais, revelando a capitalização composta, aplicada diariamente. Reconhece-se que a CCB menciona a capitalização (cláusula 2.1) e informa o CET anual; a tese é deduzida, assim, em caráter de reforço da onerosidade excessiva, e não como fundamento autônomo, e deve ser analisada à luz das Súmulas 539 e 541/STJ e da exigência de pactuação clara. Requer-se, em qualquer hipótese, a vedação de capitalização em taxa superior à média de mercado.</w:t>
      </w:r>
    </w:p>
    <w:p>
      <w:pPr>
        <w:spacing w:after="120" w:line="360" w:lineRule="auto"/>
        <w:jc w:val="left"/>
      </w:pPr>
      <w:r>
        <w:rPr>
          <w:b/>
          <w:i w:val="0"/>
        </w:rPr>
        <w:t>3.5. Dos encargos acessórios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a) Tarifa de cadastro — R$ 750,00 (6,44% do valor financiado).</w:t>
      </w:r>
      <w:r>
        <w:rPr>
          <w:b w:val="0"/>
          <w:i w:val="0"/>
        </w:rPr>
        <w:t xml:space="preserve"> O STJ admite a tarifa de cadastro apenas uma vez, no início do relacionamento entre consumidor e instituição (Tema 618/STJ, REsp 1.251.331/RS). Impugna-se a cobrança, devendo a Ré comprovar que se trata do início do relacionamento e a efetiva contrapartida do serviço, sob pena de restituição do valor, em dobro, com os juros incidentes sobre ele.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b) Despesas de registro — R$ 548,25 (4,70% do valor financiado).</w:t>
      </w:r>
      <w:r>
        <w:rPr>
          <w:b w:val="0"/>
          <w:i w:val="0"/>
        </w:rPr>
        <w:t xml:space="preserve"> O Tema 958/STJ (REsp 1.578.553/SP) admite a cobrança de despesas com registro do contrato desde que comprovada a efetiva prestação do serviço e respeitado o equilíbrio contratual. Requer-se que a Ré exiba o comprovante do registro do gravame no DETRAN/BA e o valor oficial da taxa, devendo-se restituir o que exceder o efetivamente pago a esse título ou, na ausência de comprovação, a integralidade.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c) Honorários de 20% e comissão de cobrança de 10% (cláusula 3.1.2).</w:t>
      </w:r>
      <w:r>
        <w:rPr>
          <w:b w:val="0"/>
          <w:i w:val="0"/>
        </w:rPr>
        <w:t xml:space="preserve"> A cumulação de honorários contratuais de 20% sobre o valor total da dívida atualizada e de comissão de cobrança de 10% impõe ao consumidor ônus desproporcional, em desvantagem exagerada (art. 51, IV, XII e §1.º, CDC); honorários de sucumbência são fixados pelo juiz (art. 85, CPC), não por cláusula adesiva. Requer-se a declaração de nulidade.</w:t>
      </w:r>
    </w:p>
    <w:p>
      <w:pPr>
        <w:spacing w:after="160" w:line="360" w:lineRule="auto"/>
        <w:ind w:firstLine="709"/>
        <w:jc w:val="both"/>
      </w:pPr>
      <w:r>
        <w:rPr>
          <w:b/>
          <w:i w:val="0"/>
        </w:rPr>
        <w:t>d) IOF.</w:t>
      </w:r>
      <w:r>
        <w:rPr>
          <w:b w:val="0"/>
          <w:i w:val="0"/>
        </w:rPr>
        <w:t xml:space="preserve"> Não se discute a legitimidade do tributo, mas apenas a incidência de juros sobre o IOF e demais encargos financiados, que integram a base de cálculo dos juros e majoram o custo efetivo.</w:t>
      </w:r>
    </w:p>
    <w:p>
      <w:pPr>
        <w:spacing w:after="120" w:line="360" w:lineRule="auto"/>
        <w:jc w:val="left"/>
      </w:pPr>
      <w:r>
        <w:rPr>
          <w:b/>
          <w:i w:val="0"/>
        </w:rPr>
        <w:t>CAPÍTULO 4 — DO DIREITO</w:t>
      </w:r>
    </w:p>
    <w:p>
      <w:pPr>
        <w:spacing w:after="120" w:line="360" w:lineRule="auto"/>
        <w:jc w:val="left"/>
      </w:pPr>
      <w:r>
        <w:rPr>
          <w:b/>
          <w:i w:val="0"/>
        </w:rPr>
        <w:t>4.1. Da aplicação do CDC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aplicabilidade do CDC às instituições financeiras está sedimentada pela Súmula 297/STJ e pelo julgamento da ADI 2.591/STF. Incidem a vulnerabilidade presumida (art. 4.º, I), o direito à modificação de cláusulas que estabeleçam prestações desproporcionais (art. 6.º, V), a vedação à vantagem manifestamente excessiva (art. 39, V), a nulidade das cláusulas abusivas (art. 51) e a responsabilidade objetiva (art. 14).</w:t>
      </w:r>
    </w:p>
    <w:p>
      <w:pPr>
        <w:spacing w:after="120" w:line="360" w:lineRule="auto"/>
        <w:jc w:val="left"/>
      </w:pPr>
      <w:r>
        <w:rPr>
          <w:b/>
          <w:i w:val="0"/>
        </w:rPr>
        <w:t>4.2. Da relativização do pacta sunt servanda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pacta sunt servanda nasceu para proteger a palavra dada entre iguais. Transplantado, sem mediações, para o contrato de adesão massificado, consagra o resultado da desigualdade. O Código Civil subordina a liberdade de contratar à função social do contrato (art. 421) e à boa-fé objetiva (art. 422), e o CDC confere ao consumidor o direito à modificação das cláusulas desproporcionais (art. 6.º, V), independentemente de imprevisão. Não se pretende calote nem tabelamento: pretende-se que a Ré receba o que o mercado receberia.</w:t>
      </w:r>
    </w:p>
    <w:p>
      <w:pPr>
        <w:spacing w:after="120" w:line="360" w:lineRule="auto"/>
        <w:jc w:val="left"/>
      </w:pPr>
      <w:r>
        <w:rPr>
          <w:b/>
          <w:i w:val="0"/>
        </w:rPr>
        <w:t>4.3. Da abusividade dos juros — o controle construído pelo STJ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As instituições financeiras não se sujeitam à Lei de Usura (Súmula 596/STF) e taxa superior a 12% ao ano não é, por si, abusiva (Súmula 382/STJ). Mas, justamente por não haver teto legal, o controle é judicial e casuístico, e seu instrumento de medida foi definido no REsp 1.061.530/RS (Rel. Min. Nancy Andrighi, recursos repetitivos — Tema 27/STJ): a revisão é cabível quando cabalmente demonstrada a abusividade que coloca o consumidor em desvantagem exagerada, em confronto com a taxa média de mercado divulgada pelo Banco Central, no mês da contratação.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jurisprudência adota, como régua operacional, a presunção de abusividade quando a taxa supera uma vez e meia a média: no caso, 1,5 × 3,82% = 5,73% a.m., e a Ré pactuou 5,98% a.m. (1,57 vez a média da modalidade). Registre-se que a garantia real (alienação fiduciária de veículo), que reduz substancialmente o risco da operação — a Ré detém a propriedade resolúvel do bem e a faculdade de consolidá-la extrajudicialmente —, é circunstância que justifica comparar o contrato à média das operações garantidas, e que torna difícil à Ré justificar spread acima dessa média.</w:t>
      </w:r>
    </w:p>
    <w:p>
      <w:pPr>
        <w:spacing w:after="120" w:line="360" w:lineRule="auto"/>
        <w:jc w:val="left"/>
      </w:pPr>
      <w:r>
        <w:rPr>
          <w:b/>
          <w:i w:val="0"/>
        </w:rPr>
        <w:t>4.4. Do risco da operação — refutação antecipada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defesa de estilo é que “a taxa remunera o risco”. A operação, porém, é garantida por alienação fiduciária, com a possibilidade de busca e apreensão e venda extrajudicial do bem (cláusulas 3.3 a 3.5), e a taxa média da modalidade já embute o risco médio das operações garantidas. Os dados de captação, inadimplência de carteira e composição de spread pertencem exclusivamente à Ré; se pretende justificar a taxa, que os exiba.</w:t>
      </w:r>
    </w:p>
    <w:p>
      <w:pPr>
        <w:spacing w:after="120" w:line="360" w:lineRule="auto"/>
        <w:jc w:val="left"/>
      </w:pPr>
      <w:r>
        <w:rPr>
          <w:b/>
          <w:i w:val="0"/>
        </w:rPr>
        <w:t>4.5. Do Tema 1378/STJ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Registre-se, por lealdade processual, que a Segunda Seção do STJ afetou ao rito dos repetitivos o Tema 1378 (paradigmas REsp 2.227.276/AL, 2.227.844/RS, 2.227.280/PR e 2.227.287/MG), para definir se a taxa média do BACEN basta, como fundamento exclusivo, para a aferição de abusividade dos juros remuneratórios. A suspensão alcança recursos especiais (art. 1.037, II, CPC), não o primeiro grau. Não se usa aqui a taxa média como fundamento exclusivo: a pretensão apoia-se no conjunto das circunstâncias concretas — contrato de adesão eletrônico, devolução de 2,36 vezes o valor recebido, operação com garantia real, 14,19% do valor financiado consumido por tarifa, registro e IOF, juros sobre encargos financiados, honorários de 20% e comissão de 10% — e, subsidiariamente, nos encargos acessórios, cuja análise independe do desfecho do repetitivo. Reconhece-se que a taxa pactuada está na faixa moderadamente acima da média, a chamada zona de incerteza que motivou a afetação, o que reforça a necessidade de que as circunstâncias concretas e o ônus da Ré de justificar o spread sejam examinados.</w:t>
      </w:r>
    </w:p>
    <w:p>
      <w:pPr>
        <w:spacing w:after="120" w:line="360" w:lineRule="auto"/>
        <w:jc w:val="left"/>
      </w:pPr>
      <w:r>
        <w:rPr>
          <w:b/>
          <w:i w:val="0"/>
        </w:rPr>
        <w:t>4.6. Da inversão do ônus da prova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Ré detém as informações técnicas da operação — planilha de evolução da dívida, composição de encargos, comprovantes de registro do gravame e de custos. Impõe-se a inversão do ônus da prova (art. 6.º, VIII, CDC) e, ainda, a exibição, pela Ré, do comprovante de registro do gravame no DETRAN/BA, do demonstrativo da tarifa de cadastro e da planilha de evolução do débito.</w:t>
      </w:r>
    </w:p>
    <w:p>
      <w:pPr>
        <w:spacing w:after="120" w:line="360" w:lineRule="auto"/>
        <w:jc w:val="left"/>
      </w:pPr>
      <w:r>
        <w:rPr>
          <w:b/>
          <w:i w:val="0"/>
        </w:rPr>
        <w:t>4.7. Da tutela de urgência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 probabilidade do direito decorre do contrato e da Memória de Cálculo (Doc.). O perigo de dano é contínuo: a cada vencimento, R$ 203,30 são cobrados acima do valor revisado, e o inadimplemento decorrente da discussão submete o Autor ao risco de negativação e de busca e apreensão de seu veículo, com consolidação da propriedade (Decreto-Lei n.º 911/1969). Requer-se tutela de urgência (art. 300, CPC) para: (i) autorizar o pagamento das parcelas vincendas no valor revisado de R$ 778,97 (19 parcelas vincendas, de 06/10/2026 a 06/04/2028, conforme o laudo), tidas como incontroversas; (ii) determinar que a Ré se abstenha de inscrever o nome do Autor em cadastros de proteção ao crédito e de promover busca e apreensão, consolidação da propriedade ou venda do veículo, enquanto pagos os valores acima; sob pena de multa diária de R$ 500,00. O pedido está limitado ao valor revisado, e a eventual depósito/pagamento do incontroverso será feito nos termos que Vossa Excelência determinar.</w:t>
      </w:r>
    </w:p>
    <w:p>
      <w:pPr>
        <w:spacing w:after="120" w:line="360" w:lineRule="auto"/>
        <w:jc w:val="left"/>
      </w:pPr>
      <w:r>
        <w:rPr>
          <w:b/>
          <w:i w:val="0"/>
        </w:rPr>
        <w:t>CAPÍTULO 5 — DOS DANOS</w:t>
      </w:r>
    </w:p>
    <w:p>
      <w:pPr>
        <w:spacing w:after="120" w:line="360" w:lineRule="auto"/>
        <w:jc w:val="left"/>
      </w:pPr>
      <w:r>
        <w:rPr>
          <w:b/>
          <w:i w:val="0"/>
        </w:rPr>
        <w:t>5.1. Da repetição do indébito em dobro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Cada parcela paga carrega R$ 203,30 de excesso em relação à prestação revisada. A restituição deve ser dobrada, na forma do art. 42, parágrafo único, do CDC:</w:t>
      </w:r>
    </w:p>
    <w:p>
      <w:pPr>
        <w:spacing w:after="160" w:line="360" w:lineRule="auto"/>
        <w:jc w:val="both"/>
      </w:pPr>
      <w:r>
        <w:rPr>
          <w:b w:val="0"/>
          <w:i/>
        </w:rPr>
        <w:t>“A restituição em dobro do indébito (parágrafo único do artigo 42 do CDC) independe da natureza do elemento volitivo do fornecedor que cobrou valor indevido, revelando-se cabível quando a cobrança indevida consubstanciar conduta contrária à boa-fé objetiva.” (STJ, Corte Especial, EAREsp 676.608/RS, Rel. Min. Og Fernandes, j. 21/10/2020)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 xml:space="preserve">Conforme a Memória de Cálculo (Doc.), relativamente às parcelas 1 a 5 (vencimentos de 06/05/2026 a 06/09/2026), o excesso nominal é de R$ 1.016,49; corrigido pelo IPCA, R$ 1.016,14; e, em dobro, R$ 2.032,29. </w:t>
      </w:r>
      <w:r>
        <w:rPr>
          <w:b/>
          <w:i w:val="0"/>
        </w:rPr>
        <w:t>Esse montante é calculado com a premissa de que as cinco parcelas vencidas foram pagas, o que o Autor comprovará nos autos ([[JUNTAR comprovantes de pagamento — boletos pagos/Pix/extratos de mai a set/2026; se não houver, ajustar este item]])</w:t>
      </w:r>
      <w:r>
        <w:rPr>
          <w:b w:val="0"/>
          <w:i w:val="0"/>
        </w:rPr>
        <w:t>. As parcelas vincendas (6 a 24) geram projeção de excesso de R$ 3.862,68 (R$ 7.725,36 em dobro), que somente constituirão indébito se e quando pagas a maior, o que a tutela de urgência pretende evitar. Subsidiariamente, caso as parcelas não tenham sido pagas, requer-se que o excesso seja abatido do saldo devedor, em compensação.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Com correção monetária desde cada desembolso (Súmula 43/STJ) e juros de mora desde a citação.</w:t>
      </w:r>
    </w:p>
    <w:p>
      <w:pPr>
        <w:spacing w:after="120" w:line="360" w:lineRule="auto"/>
        <w:jc w:val="left"/>
      </w:pPr>
      <w:r>
        <w:rPr>
          <w:b/>
          <w:i w:val="0"/>
        </w:rPr>
        <w:t>5.2. Do dano moral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O dano moral desta causa é um só, manifestado em dimensões que devem ser apreciadas em conjunto (art. 944 do Código Civil). Primeiro, a exposição à cobrança de encargos abusivos em operação garantida por bem do próprio consumidor, com risco concreto de perda do veículo; segundo, o tempo de vida despendido em diligências, consultas e litígio para desfazer o abuso (teoria do desvio produtivo do consumidor); terceiro, a privação material continuada pelo pagamento mensal acima do devido (R$ 203,30 por mês). O Autor é pessoa idosa, com 61 anos, o que qualifica a lesão.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Adota-se o método bifásico do STJ, ajustando o valor básico às circunstâncias concretas: vulnerabilidade do consumidor, risco sobre o veículo dado em garantia e porte econômico da Ré. Requer-se a fixação da indenização em R$ 10.000,00 (dez mil reais), patamar que compensa sem enriquecer e adverte sem confiscar.</w:t>
      </w:r>
    </w:p>
    <w:p>
      <w:pPr>
        <w:spacing w:after="120" w:line="360" w:lineRule="auto"/>
        <w:jc w:val="left"/>
      </w:pPr>
      <w:r>
        <w:rPr>
          <w:b/>
          <w:i w:val="0"/>
        </w:rPr>
        <w:t>CAPÍTULO 6 — DOS PEDIDOS</w:t>
      </w:r>
    </w:p>
    <w:p>
      <w:pPr>
        <w:spacing w:after="160" w:line="360" w:lineRule="auto"/>
        <w:jc w:val="both"/>
      </w:pPr>
      <w:r>
        <w:rPr>
          <w:b w:val="0"/>
          <w:i w:val="0"/>
        </w:rPr>
        <w:t>Ante o exposto, requer-se:</w:t>
      </w:r>
    </w:p>
    <w:p>
      <w:pPr>
        <w:spacing w:after="160" w:line="360" w:lineRule="auto"/>
        <w:jc w:val="both"/>
      </w:pPr>
      <w:r>
        <w:rPr>
          <w:b w:val="0"/>
          <w:i w:val="0"/>
        </w:rPr>
        <w:t>a) a prioridade de tramitação (art. 71 da Lei n.º 10.741/2003 e art. 1.048, I,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b) a concessão da gratuidade da justiça (arts. 98 e 99,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c) a não designação de audiência de conciliação (art. 334, §5.º,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d) a concessão de TUTELA DE URGÊNCIA para (i) autorizar o pagamento das parcelas vincendas pelo valor revisado de R$ 778,97, e (ii) determinar que a Ré se abstenha de negativar o nome do Autor e de promover busca e apreensão, consolidação da propriedade ou venda do veículo Peugeot 308, placa NZQ3285, enquanto pagos os valores acima, sob pena de multa diária de R$ 500,00;</w:t>
      </w:r>
    </w:p>
    <w:p>
      <w:pPr>
        <w:spacing w:after="160" w:line="360" w:lineRule="auto"/>
        <w:jc w:val="both"/>
      </w:pPr>
      <w:r>
        <w:rPr>
          <w:b w:val="0"/>
          <w:i w:val="0"/>
        </w:rPr>
        <w:t>e) a inversão do ônus da prova (art. 6.º, VIII, CDC) e a determinação de que a Ré exiba o comprovante do registro do gravame no DETRAN/BA, a planilha de evolução do débito e o demonstrativo da tarifa de cadastro;</w:t>
      </w:r>
    </w:p>
    <w:p>
      <w:pPr>
        <w:spacing w:after="160" w:line="360" w:lineRule="auto"/>
        <w:jc w:val="both"/>
      </w:pPr>
      <w:r>
        <w:rPr>
          <w:b w:val="0"/>
          <w:i w:val="0"/>
        </w:rPr>
        <w:t>f) a citação da Ré, sob pena de revelia (art. 344,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g) a declaração de nulidade das cláusulas abusivas do contrato de adesão (art. 51, IV e §1.º, III, CDC), em especial a cláusula 3.1.2 (honorários de 20% e comissão de cobrança de 10%);</w:t>
      </w:r>
    </w:p>
    <w:p>
      <w:pPr>
        <w:spacing w:after="160" w:line="360" w:lineRule="auto"/>
        <w:jc w:val="both"/>
      </w:pPr>
      <w:r>
        <w:rPr>
          <w:b w:val="0"/>
          <w:i w:val="0"/>
        </w:rPr>
        <w:t>h) a declaração de abusividade da taxa de 5,98% a.m. (100,76% a.a.) e a revisão do contrato, com a readequação dos encargos à taxa média de mercado divulgada pelo Banco Central do Brasil para a modalidade e período, pelo Sistema Francês de Amortização, vedada a capitalização em taxa superior à média, com a prestação recalculada em R$ 778,97;</w:t>
      </w:r>
    </w:p>
    <w:p>
      <w:pPr>
        <w:spacing w:after="160" w:line="360" w:lineRule="auto"/>
        <w:jc w:val="both"/>
      </w:pPr>
      <w:r>
        <w:rPr>
          <w:b w:val="0"/>
          <w:i w:val="0"/>
        </w:rPr>
        <w:t>i) subsidiariamente, o reconhecimento da ilegalidade da tarifa de cadastro (R$ 750,00, Tema 618/STJ) e das despesas de registro (R$ 548,25, Tema 958/STJ), na ausência de comprovação, pela Ré, de sua legitimidade, com a restituição dos valores correspondentes, em dobro, e a exclusão dos juros incidentes sobre eles, com liquidação por cálculos;</w:t>
      </w:r>
    </w:p>
    <w:p>
      <w:pPr>
        <w:spacing w:after="160" w:line="360" w:lineRule="auto"/>
        <w:jc w:val="both"/>
      </w:pPr>
      <w:r>
        <w:rPr>
          <w:b w:val="0"/>
          <w:i w:val="0"/>
        </w:rPr>
        <w:t>j) a condenação da Ré à repetição em dobro do indébito — todos os valores pagos acima do recálculo, estimados em R$ 2.032,29 em relação às parcelas 1 a 5, a confirmar com a prova de pagamento, bem como os que vierem a ser pagos a maior no curso da ação —, com correção desde cada desembolso e juros de mora desde a citação (art. 42, parágrafo único, CDC; EAREsp 676.608/RS); alternativamente, o abatimento do excesso do saldo devedor;</w:t>
      </w:r>
    </w:p>
    <w:p>
      <w:pPr>
        <w:spacing w:after="160" w:line="360" w:lineRule="auto"/>
        <w:jc w:val="both"/>
      </w:pPr>
      <w:r>
        <w:rPr>
          <w:b w:val="0"/>
          <w:i w:val="0"/>
        </w:rPr>
        <w:t>k) a condenação da Ré ao pagamento de indenização por dano moral de R$ 10.000,00 (dez mil reais);</w:t>
      </w:r>
    </w:p>
    <w:p>
      <w:pPr>
        <w:spacing w:after="160" w:line="360" w:lineRule="auto"/>
        <w:jc w:val="both"/>
      </w:pPr>
      <w:r>
        <w:rPr>
          <w:b w:val="0"/>
          <w:i w:val="0"/>
        </w:rPr>
        <w:t>l) custas e honorários advocatícios de 20% sobre a condenação (art. 85, §2.º, CPC);</w:t>
      </w:r>
    </w:p>
    <w:p>
      <w:pPr>
        <w:spacing w:after="160" w:line="360" w:lineRule="auto"/>
        <w:jc w:val="both"/>
      </w:pPr>
      <w:r>
        <w:rPr>
          <w:b w:val="0"/>
          <w:i w:val="0"/>
        </w:rPr>
        <w:t>m) a produção de todas as provas admitidas, especialmente documental, pericial contábil e depoimento pessoal do representante da Ré.</w:t>
      </w:r>
    </w:p>
    <w:p>
      <w:pPr>
        <w:spacing w:after="160" w:line="360" w:lineRule="auto"/>
        <w:ind w:firstLine="709"/>
        <w:jc w:val="both"/>
      </w:pPr>
      <w:r>
        <w:rPr>
          <w:b w:val="0"/>
          <w:i w:val="0"/>
        </w:rPr>
        <w:t>Dá-se à causa o valor de R$ 12.032,29 (doze mil, trinta e dois reais e vinte e nove centavos), correspondente à repetição em dobro estimada (R$ 2.032,29) acrescida do dano moral (R$ 10.000,00), sem prejuízo da repercussão econômica da limitação das parcelas vincendas e da revisão dos encargos acessórios, a apurar.</w:t>
      </w:r>
    </w:p>
    <w:p>
      <w:pPr>
        <w:spacing w:after="120" w:line="360" w:lineRule="auto"/>
        <w:jc w:val="left"/>
      </w:pPr>
      <w:r>
        <w:rPr>
          <w:b/>
          <w:i w:val="0"/>
        </w:rPr>
        <w:t>DOCUMENTOS QUE ACOMPANHAM A INICIAL</w:t>
      </w:r>
    </w:p>
    <w:p>
      <w:pPr>
        <w:spacing w:after="40" w:line="360" w:lineRule="auto"/>
        <w:jc w:val="both"/>
      </w:pPr>
      <w:r>
        <w:rPr>
          <w:b w:val="0"/>
          <w:i w:val="0"/>
        </w:rPr>
        <w:t xml:space="preserve">1. Procuração </w:t>
      </w:r>
      <w:r>
        <w:rPr>
          <w:b w:val="0"/>
          <w:i w:val="0"/>
          <w:highlight w:val="yellow"/>
        </w:rPr>
        <w:t>[a juntar]</w:t>
      </w:r>
      <w:r>
        <w:rPr>
          <w:b w:val="0"/>
          <w:i w:val="0"/>
        </w:rPr>
        <w:t xml:space="preserve"> e declaração de hipossuficiência </w:t>
      </w:r>
      <w:r>
        <w:rPr>
          <w:b w:val="0"/>
          <w:i w:val="0"/>
          <w:highlight w:val="yellow"/>
        </w:rPr>
        <w:t>[a juntar]</w:t>
      </w:r>
      <w:r>
        <w:rPr>
          <w:b w:val="0"/>
          <w:i w:val="0"/>
        </w:rPr>
        <w:t>;</w:t>
      </w:r>
    </w:p>
    <w:p>
      <w:pPr>
        <w:spacing w:after="40" w:line="360" w:lineRule="auto"/>
        <w:jc w:val="both"/>
      </w:pPr>
      <w:r>
        <w:rPr>
          <w:b w:val="0"/>
          <w:i w:val="0"/>
        </w:rPr>
        <w:t>2. RG (frente e verso) e CPF do Autor;</w:t>
      </w:r>
    </w:p>
    <w:p>
      <w:pPr>
        <w:spacing w:after="40" w:line="360" w:lineRule="auto"/>
        <w:jc w:val="both"/>
      </w:pPr>
      <w:r>
        <w:rPr>
          <w:b w:val="0"/>
          <w:i w:val="0"/>
        </w:rPr>
        <w:t xml:space="preserve">3. Comprovante de residência </w:t>
      </w:r>
      <w:r>
        <w:rPr>
          <w:b w:val="0"/>
          <w:i w:val="0"/>
          <w:highlight w:val="yellow"/>
        </w:rPr>
        <w:t>[o constante da pasta está em nome de Rosane de Souza Santos, Rua Moreira Cesar, 259/299 — juntar comprovante em nome do Autor ou declaração de residência]</w:t>
      </w:r>
      <w:r>
        <w:rPr>
          <w:b w:val="0"/>
          <w:i w:val="0"/>
        </w:rPr>
        <w:t>;</w:t>
      </w:r>
    </w:p>
    <w:p>
      <w:pPr>
        <w:spacing w:after="40" w:line="360" w:lineRule="auto"/>
        <w:jc w:val="both"/>
      </w:pPr>
      <w:r>
        <w:rPr>
          <w:b w:val="0"/>
          <w:i w:val="0"/>
        </w:rPr>
        <w:t>4. Cédula de Crédito Bancário n.º AR00366256 (Clicksign) e log de assinatura;</w:t>
      </w:r>
    </w:p>
    <w:p>
      <w:pPr>
        <w:spacing w:after="40" w:line="360" w:lineRule="auto"/>
        <w:jc w:val="both"/>
      </w:pPr>
      <w:r>
        <w:rPr>
          <w:b w:val="0"/>
          <w:i w:val="0"/>
        </w:rPr>
        <w:t>5. Memória de Cálculo (laudo de 07/10/2026);</w:t>
      </w:r>
    </w:p>
    <w:p>
      <w:pPr>
        <w:spacing w:after="40" w:line="360" w:lineRule="auto"/>
        <w:jc w:val="both"/>
      </w:pPr>
      <w:r>
        <w:rPr>
          <w:b w:val="0"/>
          <w:i w:val="0"/>
        </w:rPr>
        <w:t xml:space="preserve">6. Comprovantes de pagamento das parcelas 1 a 5 </w:t>
      </w:r>
      <w:r>
        <w:rPr>
          <w:b w:val="0"/>
          <w:i w:val="0"/>
          <w:highlight w:val="yellow"/>
        </w:rPr>
        <w:t>[a juntar]</w:t>
      </w:r>
      <w:r>
        <w:rPr>
          <w:b w:val="0"/>
          <w:i w:val="0"/>
        </w:rPr>
        <w:t>.</w:t>
      </w:r>
    </w:p>
    <w:p>
      <w:pPr>
        <w:spacing w:after="160" w:line="360" w:lineRule="auto"/>
        <w:ind w:firstLine="709"/>
        <w:jc w:val="both"/>
      </w:pPr>
    </w:p>
    <w:p>
      <w:pPr>
        <w:spacing w:after="160" w:line="360" w:lineRule="auto"/>
        <w:jc w:val="left"/>
      </w:pPr>
      <w:r>
        <w:rPr>
          <w:b w:val="0"/>
          <w:i w:val="0"/>
        </w:rPr>
        <w:t>Nestes termos,</w:t>
      </w:r>
    </w:p>
    <w:p>
      <w:pPr>
        <w:spacing w:after="160" w:line="360" w:lineRule="auto"/>
        <w:jc w:val="left"/>
      </w:pPr>
      <w:r>
        <w:rPr>
          <w:b w:val="0"/>
          <w:i w:val="0"/>
        </w:rPr>
        <w:t>Pede deferimento.</w:t>
      </w:r>
    </w:p>
    <w:p>
      <w:pPr>
        <w:spacing w:after="160" w:line="360" w:lineRule="auto"/>
        <w:jc w:val="left"/>
      </w:pPr>
      <w:r>
        <w:rPr>
          <w:b w:val="0"/>
          <w:i w:val="0"/>
        </w:rPr>
        <w:t>Salvador/BA, 7 de outubro de 2026.</w:t>
      </w:r>
    </w:p>
    <w:p>
      <w:pPr>
        <w:spacing w:after="160" w:line="360" w:lineRule="auto"/>
        <w:ind w:firstLine="709"/>
        <w:jc w:val="both"/>
      </w:pPr>
    </w:p>
    <w:p>
      <w:pPr>
        <w:spacing w:after="0" w:line="360" w:lineRule="auto"/>
        <w:jc w:val="center"/>
      </w:pPr>
      <w:r>
        <w:rPr>
          <w:b w:val="0"/>
          <w:i w:val="0"/>
        </w:rPr>
        <w:t>______________________________________</w:t>
      </w:r>
    </w:p>
    <w:p>
      <w:pPr>
        <w:spacing w:after="160" w:line="360" w:lineRule="auto"/>
        <w:jc w:val="center"/>
      </w:pPr>
      <w:r>
        <w:rPr>
          <w:b/>
          <w:i w:val="0"/>
        </w:rPr>
        <w:t>CLEYTON DA SILVA BARBOSA - OAB/BA 92.148</w:t>
      </w:r>
    </w:p>
    <w:sectPr w:rsidR="00FC693F" w:rsidRPr="0006063C" w:rsidSect="00034616">
      <w:pgSz w:w="12240" w:h="15840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