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b/>
          <w:i w:val="0"/>
        </w:rPr>
        <w:t>AO JUÍZO DE DIREITO DA ___ª VARA CÍVEL DA COMARCA DE SALVADOR/BA</w:t>
      </w:r>
    </w:p>
    <w:p>
      <w:pPr>
        <w:spacing w:after="160" w:line="312" w:lineRule="auto"/>
        <w:jc w:val="both"/>
      </w:pPr>
      <w:r>
        <w:rPr>
          <w:b w:val="0"/>
          <w:i w:val="0"/>
          <w:sz w:val="22"/>
        </w:rPr>
        <w:t>EMENTA: DIREITO DO CONSUMIDOR E DIREITO BANCÁRIO. AÇÃO REVISIONAL COM PEDIDO INCIDENTAL DE EXIBIÇÃO DE CONTRATO (ARTS. 396 A 400, CPC). EMPRÉSTIMO PESSOAL "RENOVAÇÃO" COM LIBERAÇÃO DE APENAS 4,01% DE DINHEIRO NOVO (R$ 213,35 DE R$ 5.325,00) E 95,66% DE ROLAGEM DE DÍVIDA ANTERIOR — REFINANCIAMENTO EM CASCATA. TAXA DE 10,55% A.M. (233,19% A.A.), 1,65 VEZ A TAXA MÉDIA DE MERCADO DIVULGADA PELO BANCO CENTRAL. BENEFICIÁRIO DO INSS. SÚMULA 530/STJ. ART. 400, I, CPC. REPETIÇÃO EM DOBRO (EAREsp 676.608/RS). DISTINGUISHING FRENTE AO TEMA 1378/STJ. TUTELA DE URGÊNCIA. PROCEDÊNCIA.</w:t>
      </w:r>
    </w:p>
    <w:p>
      <w:pPr>
        <w:spacing w:after="160" w:line="312" w:lineRule="auto"/>
        <w:jc w:val="both"/>
      </w:pPr>
      <w:r>
        <w:rPr>
          <w:b w:val="0"/>
          <w:i w:val="0"/>
          <w:sz w:val="22"/>
        </w:rPr>
        <w:t>Consulta pública da taxa média de juros — Banco Central do Brasil: www3.bcb.gov.br/sgspub/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JERÔNIMO SANTOS BARRETO, brasileiro, casado, beneficiário do INSS (NB 2131620130), portador do RG n.º 04.220.542-59 SSP/BA, inscrito no CPF sob o n.º 446.059.945-72, residente e domiciliado na Rua Urucuca, 16, AP-20, Faz. São José, KM 16, Zona Rural, Ilhéus/BA, CEP 45662-899, sem endereço eletrônico, vem, mui respeitosamente, perante Vossa Excelência, por intermédio de seu advogado que esta subscreve (procuração anexa), propor a presente</w:t>
      </w:r>
    </w:p>
    <w:p>
      <w:pPr>
        <w:spacing w:after="160" w:line="312" w:lineRule="auto"/>
        <w:jc w:val="center"/>
      </w:pPr>
      <w:r>
        <w:rPr>
          <w:b/>
          <w:i w:val="0"/>
        </w:rPr>
        <w:t>AÇÃO REVISIONAL DE CONTRATO C/C REPETIÇÃO DE INDÉBITO EM DOBRO, PEDIDO INCIDENTAL DE EXIBIÇÃO DE CONTRATO, TUTELA DE URGÊNCIA E INDENIZAÇÃO POR DANOS MORAIS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 xml:space="preserve">em face de BANCO MERCANTIL DO BRASIL S/A </w:t>
      </w:r>
      <w:r>
        <w:rPr>
          <w:b w:val="0"/>
          <w:i w:val="0"/>
          <w:highlight w:val="yellow"/>
        </w:rPr>
        <w:t>(CONFIRMAR: a tela do contrato não identifica a instituição; indicada em razão do produto "MB FACILITA CC")</w:t>
      </w:r>
      <w:r>
        <w:rPr>
          <w:b w:val="0"/>
          <w:i w:val="0"/>
        </w:rPr>
        <w:t>, pessoa jurídica de direito privado, inscrita no CNPJ sob o n.º 17.184.037/0001-10, com sede na Avenida do Contorno, 5800, Andares 11 a 15, Savassi, Belo Horizonte/MG, CEP 30110-042, pelos fatos e fundamentos a seguir expostos:</w:t>
      </w:r>
    </w:p>
    <w:p>
      <w:pPr>
        <w:spacing w:after="160" w:line="312" w:lineRule="auto"/>
        <w:jc w:val="left"/>
      </w:pPr>
      <w:r>
        <w:rPr>
          <w:b/>
          <w:i w:val="0"/>
        </w:rPr>
        <w:t>I — DAS PRELIMINARES</w:t>
      </w:r>
    </w:p>
    <w:p>
      <w:pPr>
        <w:spacing w:after="160" w:line="312" w:lineRule="auto"/>
        <w:jc w:val="left"/>
      </w:pPr>
      <w:r>
        <w:rPr>
          <w:b/>
          <w:i w:val="0"/>
        </w:rPr>
        <w:t>I.1. Da gratuidade da justiça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A parte Autora é beneficiária do INSS, pessoa de baixa renda, que reside em zona rural e firmou a declaração de hipossuficiência anexa, a qual goza de presunção de veracidade (art. 99, §3.º, CPC). Não possui condições de arcar com custas e despesas processuais sem prejuízo do próprio sustento e o de sua família. Requer-se a gratuidade da justiça (arts. 98 e 99, CPC; art. 5.º, LXXIV, CF/88), inclusive para eventual fase recursal.</w:t>
      </w:r>
    </w:p>
    <w:p>
      <w:pPr>
        <w:spacing w:after="160" w:line="312" w:lineRule="auto"/>
        <w:jc w:val="left"/>
      </w:pPr>
      <w:r>
        <w:rPr>
          <w:b/>
          <w:i w:val="0"/>
        </w:rPr>
        <w:t>I.2. Do desinteresse na audiência de conciliação e mediação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A parte Autora manifesta expresso desinteresse na audiência do art. 334 do CPC (§5.º). Cada mês de tramitação significa um novo desconto sobre verba de natureza alimentar. A dispensa do ato atende à razoável duração do processo (art. 5.º, LXXVIII, CF/88). Requer-se a imediata instrução e julgamento do feito.</w:t>
      </w:r>
    </w:p>
    <w:p>
      <w:pPr>
        <w:spacing w:after="160" w:line="312" w:lineRule="auto"/>
        <w:jc w:val="left"/>
      </w:pPr>
      <w:r>
        <w:rPr>
          <w:b/>
          <w:i w:val="0"/>
        </w:rPr>
        <w:t>I.3. Do julgamento antecipado do mérito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A matéria é essencialmente documental: a tela do contrato, a série histórica do BACEN e, após a exibição incidental, o próprio contrato e seu cronograma. Requer-se o julgamento antecipado da lide (art. 355, I e II, CPC), inclusive na hipótese de revelia.</w:t>
      </w:r>
    </w:p>
    <w:p>
      <w:pPr>
        <w:spacing w:after="160" w:line="312" w:lineRule="auto"/>
        <w:jc w:val="left"/>
      </w:pPr>
      <w:r>
        <w:rPr>
          <w:b/>
          <w:i w:val="0"/>
        </w:rPr>
        <w:t>II — DOS FATOS</w:t>
      </w:r>
    </w:p>
    <w:p>
      <w:pPr>
        <w:spacing w:after="160" w:line="312" w:lineRule="auto"/>
        <w:jc w:val="left"/>
      </w:pPr>
      <w:r>
        <w:rPr>
          <w:b/>
          <w:i w:val="0"/>
        </w:rPr>
        <w:t>II.1. Da operação de "renovação" e da rolagem de dívida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A parte Autora é beneficiária do INSS (NB 2131620130). Em 24/08/2026, por meio do canal MOBILE BANKING, constou em seu nome o contrato n.º 950001930887, produto "EMPRESTIMO SIMPLES CC", tipo de operação "RENOVAÇÃO", que renovou o contrato anterior n.º 990000698483 (produto "MB FACILITA CC"). Os dados constantes da tela de detalhes do contrato (Doc.) são os seguintes: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b/>
                <w:sz w:val="22"/>
              </w:rPr>
              <w:t>ITEM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b/>
                <w:sz w:val="22"/>
              </w:rPr>
              <w:t>DADO DA TELA DO CONTRATO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Contrato / tipo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950001930887 — RENOVAÇÃO (EMPRESTIMO SIMPLES CC)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Contrato renovado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990000698483 — MB FACILITA CC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Data da operação / canal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24/08/2026 — MOBILE BANKING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Valor contratado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R$ 5.325,00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Saldo devedor renovado (rolagem)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R$ 5.093,65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IOF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R$ 18,00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Valor líquido liberado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R$ 213,35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Taxa de juros mensal / anual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10,55% a.m. / 233,19% a.a.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CET mensal / anual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10,59% a.m. / 240,25% a.a.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Vencimento final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01/09/2029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Saldo devedor atual (tela)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R$ 5.867,17</w:t>
            </w:r>
          </w:p>
        </w:tc>
      </w:tr>
    </w:tbl>
    <w:p/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 xml:space="preserve">A conta é simples e eloquente: dos R$ 5.325,00 "contratados", R$ 5.093,65 (95,66%) apenas quitaram dívida anterior da própria Ré, R$ 18,00 (0,34%) foram IOF e somente R$ 213,35 (4,01%) chegaram efetivamente às mãos da parte Autora. Em outras palavras: para receber R$ 213,35 de dinheiro novo, a parte Autora foi levada a refinanciar toda a dívida anterior a uma taxa de 10,55% ao mês, alongando-a até 2029. Projetando-se o prazo de 36 parcelas mensais </w:t>
      </w:r>
      <w:r>
        <w:rPr>
          <w:b w:val="0"/>
          <w:i w:val="0"/>
          <w:highlight w:val="yellow"/>
        </w:rPr>
        <w:t>(prazo estimado a partir do vencimento final; o número de parcelas não consta da tela e deve ser confirmado pelo contrato)</w:t>
      </w:r>
      <w:r>
        <w:rPr>
          <w:b w:val="0"/>
          <w:i w:val="0"/>
        </w:rPr>
        <w:t>, o total a pagar atingiria cerca de R$ 20.786,25 — aproximadamente 3,9 vezes o valor contratado e quase 100 vezes o dinheiro novo liberado.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Registre-se, ainda, que o saldo devedor atual informado (R$ 5.867,17) já supera o valor contratado (R$ 5.325,00) em pouco mais de um mês e meio de vigência, circunstância que a Ré deverá esclarecer.</w:t>
      </w:r>
    </w:p>
    <w:p>
      <w:pPr>
        <w:spacing w:after="160" w:line="312" w:lineRule="auto"/>
        <w:jc w:val="left"/>
      </w:pPr>
      <w:r>
        <w:rPr>
          <w:b/>
          <w:i w:val="0"/>
        </w:rPr>
        <w:t>II.2. Do refinanciamento em cascata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A operação de "renovação" não é fato isolado. O contrato renovado (MB FACILITA CC, n.º 990000698483) tem, ele próprio, origem em contratações anteriores, e o padrão — renovar a dívida, embutir no novo contrato o saldo devedor anterior com encargos capitalizados, liberar ao consumidor quantia irrisória e reiniciar a contagem do prazo — caracteriza o que a prática bancária e a jurisprudência denominam refinanciamento em cascata (ou "empréstimo em bola de neve"): o consumidor nunca amortiza o principal, paga juros sobre juros e permanece perpetuamente endividado. A dimensão real do dano só poderá ser apurada com a exibição de todos os contratos da cadeia, o que se requer adiante.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 xml:space="preserve">Nesse cenário, a parte Autora é beneficiária do INSS e a contratação se deu por aplicativo (mobile banking), sem que lhe tenha sido entregue o instrumento contratual, o cronograma de pagamento ou qualquer demonstrativo que explicasse a evolução da dívida. </w:t>
      </w:r>
      <w:r>
        <w:rPr>
          <w:b w:val="0"/>
          <w:i w:val="0"/>
          <w:highlight w:val="yellow"/>
        </w:rPr>
        <w:t>A parte Autora não dispõe de extratos que comprovem as parcelas já descontadas; a renda líquida mensal e o valor da parcela real serão demonstrados/confirmados — PREENCHER, se houver.</w:t>
      </w:r>
    </w:p>
    <w:p>
      <w:pPr>
        <w:spacing w:after="160" w:line="312" w:lineRule="auto"/>
        <w:jc w:val="left"/>
      </w:pPr>
      <w:r>
        <w:rPr>
          <w:b/>
          <w:i w:val="0"/>
        </w:rPr>
        <w:t>II.3. Da opacidade contratual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A parte Autora não dispõe do instrumento contratual, nem do cronograma de parcelas, nem dos contratos anteriores. Conhece apenas o que a tela do aplicativo revela: uma taxa de 10,55% ao mês (233,19% ao ano), um CET de 10,59% ao mês e um saldo devedor que cresce. Segundo a série histórica divulgada pelo Banco Central do Brasil para a modalidade, a taxa média de mercado em agosto de 2026 foi de 6,39% ao mês — a taxa pactuada equivale a 1,65 vez (165,10%) da média. A opacidade não é acidente: é método. O fornecedor que não entrega o contrato priva o consumidor do único documento com que este poderia conferir, questionar e reagir.</w:t>
      </w:r>
    </w:p>
    <w:p>
      <w:pPr>
        <w:spacing w:after="160" w:line="312" w:lineRule="auto"/>
        <w:jc w:val="left"/>
      </w:pPr>
      <w:r>
        <w:rPr>
          <w:b/>
          <w:i w:val="0"/>
        </w:rPr>
        <w:t>III — DO PEDIDO INCIDENTAL DE EXIBIÇÃO DE CONTRATO</w:t>
      </w:r>
    </w:p>
    <w:p>
      <w:pPr>
        <w:spacing w:after="160" w:line="312" w:lineRule="auto"/>
        <w:jc w:val="left"/>
      </w:pPr>
      <w:r>
        <w:rPr>
          <w:b/>
          <w:i w:val="0"/>
        </w:rPr>
        <w:t>III.1. Do cabimento — arts. 396 a 399 do CPC e o direito à documentação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Requer-se, incidentalmente, que a Ré seja intimada a exibir a integralidade dos instrumentos contratuais firmados com a parte Autora — em especial (i) o contrato n.º 950001930887; (ii) o respectivo cronograma de pagamento, com discriminação de taxas, CET, prazo, valor e data de cada parcela, parcelas pagas, vincendas e saldo devedor; (iii) o contrato n.º 990000698483 (MB FACILITA CC) e todos os contratos antecedentes da cadeia de renovações; e (iv) os registros eletrônicos (logs, data, hora, dispositivo, IP e demais evidências de autenticação) da contratação realizada por mobile banking — nos termos dos arts. 396 a 399 do CPC. O pedido não é mera faculdade probatória: é a via processual de um direito material. O consumidor tem direito à informação adequada e clara sobre o serviço contratado (art. 6.º, III, CDC) e o fornecedor tem o dever correlato de documentar e entregar.</w:t>
      </w:r>
    </w:p>
    <w:p>
      <w:pPr>
        <w:spacing w:after="160" w:line="312" w:lineRule="auto"/>
        <w:jc w:val="left"/>
      </w:pPr>
      <w:r>
        <w:rPr>
          <w:b/>
          <w:i w:val="0"/>
        </w:rPr>
        <w:t>III.2. Da desnecessidade de requerimento administrativo prévio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Preveja-se — e afaste-se — a preliminar de estilo de que faltaria interesse processual por ausência de prévio requerimento administrativo. A exigência aplica-se à ação autônoma de exibição de documentos; o pedido incidental, formulado no bojo da ação revisional como técnica instrutória, funda-se diretamente nos arts. 396 e seguintes do CPC e dela independe. A jurisprudência é pacífica:</w:t>
      </w:r>
    </w:p>
    <w:p>
      <w:pPr>
        <w:spacing w:after="160" w:line="312" w:lineRule="auto"/>
        <w:ind w:left="2268"/>
        <w:jc w:val="both"/>
      </w:pPr>
      <w:r>
        <w:rPr>
          <w:b w:val="0"/>
          <w:i/>
          <w:sz w:val="22"/>
        </w:rPr>
        <w:t>"AGRAVO DE INSTRUMENTO. AÇÃO REVISIONAL. EXIBIÇÃO INCIDENTAL DE DOCUMENTOS. É desnecessário o requerimento administrativo prévio de exibição de contrato na ação revisional, quando há pedido incidental de exibição amparado nos artigos 396 e 399 do Código de Processo Civil, cuja falta não justifica a extinção do processo, sem resolução do mérito, por ausência de interesse processual." (TJMG, AI 1.0000.18.008471-7/003, 15.ª Câmara Cível, Rel. Des. Maurílio Gabriel, j. 02/07/2021)</w:t>
      </w:r>
    </w:p>
    <w:p>
      <w:pPr>
        <w:spacing w:after="160" w:line="312" w:lineRule="auto"/>
        <w:ind w:left="2268"/>
        <w:jc w:val="both"/>
      </w:pPr>
      <w:r>
        <w:rPr>
          <w:b w:val="0"/>
          <w:i/>
          <w:sz w:val="22"/>
        </w:rPr>
        <w:t>"EMENTA: DIREITO PROCESSUAL CIVIL — AÇÃO REVISIONAL DE CONTRATO — REQUERIMENTO DE EXIBIÇÃO INCIDENTAL DO INSTRUMENTO CONTRATUAL — PRÉVIO REQUERIMENTO ADMINISTRATIVO — DESNECESSIDADE — EXTINÇÃO DO PROCESSO, SEM RESOLUÇÃO DE MÉRITO, POR AUSÊNCIA DE INTERESSE PROCESSUAL — IMPOSSIBILIDADE — RECURSO PROVIDO — SENTENÇA CASSADA. O pedido, formulado em ação revisional de contrato, de exibição incidental do instrumento contratual objeto do litígio, encontra fundamento legal no artigo 396 do Código de Processo Civil e não se submete ao requisito de prévio requerimento administrativo." (TJMG, Apelação Cível 1.0000.19.050887-9/001, 9.ª Câmara Cível, Rel. Des. Márcio Idalmo Santos Miranda, j. 09/07/2019)</w:t>
      </w:r>
    </w:p>
    <w:p>
      <w:pPr>
        <w:spacing w:after="160" w:line="312" w:lineRule="auto"/>
        <w:jc w:val="left"/>
      </w:pPr>
      <w:r>
        <w:rPr>
          <w:b/>
          <w:i w:val="0"/>
        </w:rPr>
        <w:t>III.3. Da consequência da não exibição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A Ré não tem saída processual confortável. Se exibe o contrato e os antecedentes, expõe a taxa de 1,65 vez a média ao confronto com a série do BACEN e revela a cascata de refinanciamentos. Se não exibe, incidem duas consequências cumulativas: (i) a presunção de veracidade dos fatos que a parte Autora pretendia provar com o documento (art. 400, I, CPC); e (ii) a aplicação direta da Súmula 530/STJ:</w:t>
      </w:r>
    </w:p>
    <w:p>
      <w:pPr>
        <w:spacing w:after="160" w:line="312" w:lineRule="auto"/>
        <w:ind w:left="2268"/>
        <w:jc w:val="both"/>
      </w:pPr>
      <w:r>
        <w:rPr>
          <w:b w:val="0"/>
          <w:i/>
          <w:sz w:val="22"/>
        </w:rPr>
        <w:t>"Nos contratos bancários, na impossibilidade de comprovar a taxa de juros efetivamente contratada — por ausência de pactuação ou pela falta de juntada do instrumento aos autos —, aplica-se a taxa média de mercado, divulgada pelo Bacen, praticada nas operações da mesma espécie, salvo se a taxa cobrada for mais vantajosa para o devedor." (Súmula 530/STJ)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Em qualquer dos cenários, os encargos serão readequados à taxa média de mercado divulgada pelo Banco Central.</w:t>
      </w:r>
    </w:p>
    <w:p>
      <w:pPr>
        <w:spacing w:after="160" w:line="312" w:lineRule="auto"/>
        <w:jc w:val="left"/>
      </w:pPr>
      <w:r>
        <w:rPr>
          <w:b/>
          <w:i w:val="0"/>
        </w:rPr>
        <w:t>IV — DO DIREITO</w:t>
      </w:r>
    </w:p>
    <w:p>
      <w:pPr>
        <w:spacing w:after="160" w:line="312" w:lineRule="auto"/>
        <w:jc w:val="left"/>
      </w:pPr>
      <w:r>
        <w:rPr>
          <w:b/>
          <w:i w:val="0"/>
        </w:rPr>
        <w:t>IV.1. Da aplicabilidade do CDC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A aplicação do Código de Defesa do Consumidor às instituições financeiras está sedimentada na Súmula 297/STJ e no julgamento da ADI 2.591 pelo Supremo Tribunal Federal. A relação dos autos é de consumo (arts. 2.º e 3.º, §2.º, CDC), incidindo o direito básico à modificação de cláusulas desproporcionais (art. 6.º, V), a vedação à vantagem manifestamente excessiva (art. 39, V), a nulidade das cláusulas abusivas (art. 51), a responsabilidade objetiva (art. 14) e o direito à informação (art. 6.º, III). Tratando-se de consumidor beneficiário do INSS, a hipervulnerabilidade agrava o dever de cuidado e de transparência do fornecedor (art. 39, IV, CDC).</w:t>
      </w:r>
    </w:p>
    <w:p>
      <w:pPr>
        <w:spacing w:after="160" w:line="312" w:lineRule="auto"/>
        <w:jc w:val="left"/>
      </w:pPr>
      <w:r>
        <w:rPr>
          <w:b/>
          <w:i w:val="0"/>
        </w:rPr>
        <w:t>IV.2. Da função social do contrato e da relativização do pacta sunt servanda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A defesa invocará a força obrigatória do contrato. Mas qual contrato? O que a Ré não entregou ao consumidor? Ainda que o instrumento venha aos autos, a força obrigatória encontra os limites da função social do contrato (art. 421, CC), da boa-fé objetiva (art. 422, CC) e do direito do consumidor à modificação das cláusulas que estabeleçam prestações desproporcionais (art. 6.º, V, CDC), direito que dispensa imprevisão e se satisfaz com a desproporção objetivamente aferida.</w:t>
      </w:r>
    </w:p>
    <w:p>
      <w:pPr>
        <w:spacing w:after="160" w:line="312" w:lineRule="auto"/>
        <w:jc w:val="left"/>
      </w:pPr>
      <w:r>
        <w:rPr>
          <w:b/>
          <w:i w:val="0"/>
        </w:rPr>
        <w:t>IV.3. Da abusividade dos juros — o parâmetro objetivo do STJ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O sistema de controle das taxas bancárias, construído pela Segunda Seção do STJ no REsp 1.061.530/RS (Rel. Min. Nancy Andrighi, recursos repetitivos), opera com um referencial objetivo: a taxa média de mercado divulgada pelo Banco Central. A revisão é cabível quando demonstrada a desvantagem exagerada do consumidor (art. 51, §1.º, CDC), e a jurisprudência consolidou a régua de uma vez e meia a média como fronteira da presunção de abusividade.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No caso, a taxa pactuada informada na tela do contrato é de 10,55% ao mês (233,19% ao ano; CET de 10,59% ao mês e 240,25% ao ano), contra a taxa média de 6,39% ao mês divulgada pelo BACEN para a modalidade em agosto de 2026 (o equivalente a cerca de 110,29% ao ano). A taxa contratada representa 1,65 vez a média e supera em 10,07% a régua de 1,5 vez (9,5850% ao mês), ou seja, situa-se fora da chamada zona de incerteza e dentro da presunção de abusividade. Além disso, a multiplicação simples da taxa mensal por doze (126,60% ao ano) é muito inferior à taxa anual informada (233,19%), o que evidencia a capitalização composta dos juros.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Registre-se com precisão o que a parte Autora pede: não se pede tabelamento nem a reescrita voluntarista do contrato. Pede-se a readequação dos encargos à taxa média de mercado divulgada pelo Banco Central do Brasil para a modalidade e o período, pelo Sistema Francês de Amortização, vedada a capitalização em taxa superior à média — a taxa que as próprias instituições financeiras, em conjunto, praticavam para operações idênticas. Pede-se que a Ré receba o que o mercado recebia, nada menos e nada mais.</w:t>
      </w:r>
    </w:p>
    <w:p>
      <w:pPr>
        <w:spacing w:after="160" w:line="312" w:lineRule="auto"/>
        <w:jc w:val="left"/>
      </w:pPr>
      <w:r>
        <w:rPr>
          <w:b/>
          <w:i w:val="0"/>
        </w:rPr>
        <w:t>IV.4. Do refinanciamento em cascata e da liberação de apenas 4,01% de dinheiro novo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A "renovação" de contrato em que 95,66% do valor contratado se destina a quitar dívida anterior da mesma instituição, liberando ao consumidor 4,01%, não cumpre a função social do crédito: converte o contrato em instrumento de perpetuação da dívida. A cada rolagem, o saldo anterior — já composto por juros capitalizados — é incorporado ao principal do novo contrato e sobre ele passam a incidir novos juros e novo IOF, em evidente anatocismo sucessivo. O consumidor, que buscava crédito, recebe em troca prazo mais longo e dívida mais cara, e não consegue sair do ciclo. Tal prática viola o dever de informação adequada (art. 6.º, III, CDC), configura vantagem manifestamente excessiva (art. 39, V, CDC) e ofende a boa-fé objetiva (art. 422, CC), especialmente quando praticada contra beneficiário do INSS, a quem se aplicam os deveres reforçados de cuidado e de prevenção ao superendividamento (arts. 4.º, X, e 54-A e seguintes, CDC).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Impõe-se, assim, que o recálculo seja feito de forma unificada, desde o primeiro contrato da cadeia, expurgando-se os encargos que excederam a taxa média de mercado em cada contratação e refinanciamento, o que somente será possível com a exibição dos contratos anteriores, ora requerida. Há, ainda, que se esclarecer o motivo de o saldo devedor atual (R$ 5.867,17) superar o valor contratado (R$ 5.325,00) em poucas semanas.</w:t>
      </w:r>
    </w:p>
    <w:p>
      <w:pPr>
        <w:spacing w:after="160" w:line="312" w:lineRule="auto"/>
        <w:jc w:val="left"/>
      </w:pPr>
      <w:r>
        <w:rPr>
          <w:b/>
          <w:i w:val="0"/>
        </w:rPr>
        <w:t>IV.5. Da contratação por mobile banking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A contratação teria sido realizada pelo canal MOBILE BANKING. Cabe à Ré, que se beneficiou da operação e responde objetivamente (art. 14, CDC), comprovar a manifestação de vontade livre e esclarecida da parte Autora, beneficiária do INSS, mediante a exibição dos logs de acesso, dados de autenticação, IP, dispositivo, data e hora e do instrumento que teria sido apresentado ao consumidor antes da contratação.</w:t>
      </w:r>
    </w:p>
    <w:p>
      <w:pPr>
        <w:spacing w:after="160" w:line="312" w:lineRule="auto"/>
        <w:jc w:val="left"/>
      </w:pPr>
      <w:r>
        <w:rPr>
          <w:b/>
          <w:i w:val="0"/>
        </w:rPr>
        <w:t>IV.6. Da ausência de risco que justifique o spread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Antecipe-se a defesa do "risco da operação". A taxa média do BACEN já embute o risco médio das operações da espécie, inclusive as desprovidas de qualquer garantia. Cobrar 1,65 vez essa média de beneficiário do INSS, cuja renda previdenciária é a mais estável do sistema econômico nacional, e de cliente que já tinha contrato ativo com a própria Ré (o que reduz a assimetria de informação e o risco de crédito), é precificar risco imaginário, e lucro extraído de risco imaginário é, na letra do art. 39, V, do CDC, vantagem manifestamente excessiva. Cabe à Ré, que detém os dados, demonstrar os custos de captação e a inadimplência que justificariam a taxa.</w:t>
      </w:r>
    </w:p>
    <w:p>
      <w:pPr>
        <w:spacing w:after="160" w:line="312" w:lineRule="auto"/>
        <w:jc w:val="left"/>
      </w:pPr>
      <w:r>
        <w:rPr>
          <w:b/>
          <w:i w:val="0"/>
        </w:rPr>
        <w:t>IV.7. Do distinguishing frente ao Tema 1378/STJ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Registre-se, por lealdade processual, que a Segunda Seção do STJ afetou ao rito dos repetitivos o Tema 1378 (Rel. Min. Antonio Carlos Ferreira; paradigmas REsp 2.227.276/AL, 2.227.844/RS, 2.227.280/PR e 2.227.287/MG), para definir se a taxa média do BACEN basta como fundamento exclusivo da aferição de abusividade dos juros. Esta causa não depende do resultado do repetitivo, por três razões independentes: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Primeira: o processamento. A suspensão determinada na afetação alcança recursos especiais e agravos em recurso especial (art. 1.037, II, CPC) e não paralisa o primeiro grau. Eventual pedido de sobrestamento pela Ré deve ser indeferido.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Segunda: a via da Súmula 530/STJ é imune ao Tema 1378. O repetitivo discute o critério de aferição da abusividade de taxa comprovada nos autos. A Súmula 530 opera em campo distinto: manda aplicar a taxa média quando a taxa contratada não se comprova, por ausência de pactuação ou falta de juntada do instrumento. Recusando-se a Ré à exibição, a taxa média incide por força de súmula.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Terceira: o mérito, se a taxa vier aos autos. A taxa não é invocada aqui como fundamento exclusivo, mas como referencial, somada às circunstâncias concretas: taxa de 1,65 vez a média (fora da zona de incerteza de 1 a 1,5 vez); contrato de renovação com 95,66% de rolagem e 4,01% de dinheiro novo; cadeia de refinanciamentos; consumidor beneficiário do INSS; contratação digital sem entrega de instrumento; e saldo devedor superior ao valor contratado em poucas semanas.</w:t>
      </w:r>
    </w:p>
    <w:p>
      <w:pPr>
        <w:spacing w:after="160" w:line="312" w:lineRule="auto"/>
        <w:jc w:val="left"/>
      </w:pPr>
      <w:r>
        <w:rPr>
          <w:b/>
          <w:i w:val="0"/>
        </w:rPr>
        <w:t>IV.8. Da inversão do ônus da prova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A Ré é titular do monopólio das informações e da documentação da operação, e a parte Autora sequer possui o contrato. A inversão do ônus da prova (art. 6.º, VIII, CDC) é a única forma de equalizar a relação. Requer-se a inversão desde o mandado de citação, cabendo à Ré apresentar toda a documentação contratual, com discriminação de taxas, CET, parcelas pagas, vincendas e saldo devedor.</w:t>
      </w:r>
    </w:p>
    <w:p>
      <w:pPr>
        <w:spacing w:after="160" w:line="312" w:lineRule="auto"/>
        <w:jc w:val="left"/>
      </w:pPr>
      <w:r>
        <w:rPr>
          <w:b/>
          <w:i w:val="0"/>
        </w:rPr>
        <w:t>IV.9. Da tutela de urgência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 xml:space="preserve">A probabilidade do direito emerge da própria tela do contrato (taxa de 10,55% ao mês contra média de 6,39%; 95,66% de rolagem; saldo devedor superior ao valor contratado). O perigo de dano decorre da natureza alimentar do benefício previdenciário, sobre o qual recaem os descontos mensais. Estima-se, a partir dos dados da tela e pela Tabela Price em 36 parcelas </w:t>
      </w:r>
      <w:r>
        <w:rPr>
          <w:b w:val="0"/>
          <w:i w:val="0"/>
          <w:highlight w:val="yellow"/>
        </w:rPr>
        <w:t>(valores projetados, a ajustar ao cronograma real que a Ré exibirá)</w:t>
      </w:r>
      <w:r>
        <w:rPr>
          <w:b w:val="0"/>
          <w:i w:val="0"/>
        </w:rPr>
        <w:t>, uma prestação de R$ 577,40 à taxa pactuada contra R$ 381,27 à taxa média, com excesso de R$ 196,13 por parcela. Requer-se tutela de urgência (art. 300, CPC) para limitar os descontos ao valor de R$ 381,27 por mês — ou ao valor que o Juízo entender adequado após a exibição do cronograma —, vedando-se a inscrição do nome da parte Autora em cadastros de inadimplentes por diferença decorrente da revisão, sob pena de multa diária de R$ 500,00.</w:t>
      </w:r>
    </w:p>
    <w:p>
      <w:pPr>
        <w:spacing w:after="160" w:line="312" w:lineRule="auto"/>
        <w:jc w:val="left"/>
      </w:pPr>
      <w:r>
        <w:rPr>
          <w:b/>
          <w:i w:val="0"/>
        </w:rPr>
        <w:t>V — DOS DANOS</w:t>
      </w:r>
    </w:p>
    <w:p>
      <w:pPr>
        <w:spacing w:after="160" w:line="312" w:lineRule="auto"/>
        <w:jc w:val="left"/>
      </w:pPr>
      <w:r>
        <w:rPr>
          <w:b/>
          <w:i w:val="0"/>
        </w:rPr>
        <w:t>V.1. Da memória de cálculo (projeção) e da repetição do indébito em dobro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Anexa-se Memória de Cálculo (Doc.), que, a partir da tela do contrato, reconstitui a operação pela Tabela Price e compara a taxa pactuada com a taxa média do BACEN. Os números são os seguintes, sempre em caráter de projeção: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b/>
                <w:sz w:val="22"/>
              </w:rPr>
              <w:t>ITEM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b/>
                <w:sz w:val="22"/>
              </w:rPr>
              <w:t>VALOR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Valor contratado (base de amortização)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R$ 5.325,00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Prazo projetado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36 parcelas mensais (a confirmar)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Prestação à taxa pactuada (10,55% a.m.)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R$ 577,40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Prestação revisada à taxa média (6,39% a.m.)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R$ 381,27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Excesso mensal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R$ 196,13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Total à taxa pactuada (x36)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R$ 20.786,25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Valor incontroverso (x36)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R$ 13.725,69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Excesso nominal projetado (x36)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R$ 7.060,56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Excesso projetado em dobro (art. 42, p. único, CDC)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R$ 14.121,12</w:t>
            </w:r>
          </w:p>
        </w:tc>
      </w:tr>
    </w:tbl>
    <w:p/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Com honestidade processual, registra-se que a Memória de Cálculo é uma projeção: não há, até o presente momento, comprovação do valor real da prestação nem das parcelas já descontadas (o contrato tem pouco mais de um mês e meio de vigência, com no máximo uma parcela vencida, a confirmar). O indébito já consumado será apurado após a exibição do cronograma e dos extratos de débito. Por ora, a estimativa unitária é de excesso de R$ 196,13 por parcela paga (R$ 392,25 em dobro), antes da correção. O valor projetado em dobro é de R$ 14.121,12, utilizado apenas para fixar o valor da causa.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Todos os valores descontados acima do recálculo pela taxa média de mercado devem ser restituídos em dobro (art. 42, parágrafo único, CDC). A Corte Especial do STJ fixou tese objetiva que dispensa a demonstração de má-fé:</w:t>
      </w:r>
    </w:p>
    <w:p>
      <w:pPr>
        <w:spacing w:after="160" w:line="312" w:lineRule="auto"/>
        <w:ind w:left="2268"/>
        <w:jc w:val="both"/>
      </w:pPr>
      <w:r>
        <w:rPr>
          <w:b w:val="0"/>
          <w:i/>
          <w:sz w:val="22"/>
        </w:rPr>
        <w:t>"A restituição em dobro do indébito (parágrafo único do artigo 42 do CDC) independe da natureza do elemento volitivo do fornecedor que cobrou valor indevido, revelando-se cabível quando a cobrança indevida consubstanciar conduta contrária à boa-fé objetiva." (STJ, Corte Especial, EAREsp 676.608/RS, Rel. Min. Og Fernandes, j. 21/10/2020)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A cobrança de encargos 1,65 vez superiores à média, em operação que rola dívida anterior e libera 4,01% de dinheiro novo a beneficiário do INSS, sem entrega do contrato, é conduta contrária à boa-fé objetiva. A restituição será acrescida de correção monetária desde cada desembolso (Súmula 43/STJ) e juros de mora desde a citação.</w:t>
      </w:r>
    </w:p>
    <w:p>
      <w:pPr>
        <w:spacing w:after="160" w:line="312" w:lineRule="auto"/>
        <w:jc w:val="left"/>
      </w:pPr>
      <w:r>
        <w:rPr>
          <w:b/>
          <w:i w:val="0"/>
        </w:rPr>
        <w:t>V.2. Do dano moral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O dano moral decorre de uma lesão única, que se manifesta em três dimensões apreciadas conjuntamente na fixação do quantum. A primeira é a exposição ao abuso: a rolagem de dívida a juros de 233,19% ao ano sobre verba de natureza alimentar, sem entrega do instrumento contratual, ultrapassa o mero dissabor, e a lesão é presumida (in re ipsa) pela gravidade objetiva da conduta. A segunda é o tempo subtraído (desvio produtivo do consumidor): sem jamais ter recebido o contrato, a parte Autora precisou reconstituir sua vida financeira, buscar orientação jurídica e acionar o Judiciário para obter o que a Ré devia entregar espontaneamente. A terceira é o endividamento perpétuo: ao ser mantido em ciclo de renovações em que quase nada recebe e tudo deve, o consumidor vive a angústia de não ver o fim da dívida, com comprometimento de sua renda previdenciária.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Adota-se o método bifásico do STJ. Consideradas a hipervulnerabilidade do consumidor, a sonegação do instrumento, o porte econômico da Ré e o caráter pedagógico da indenização, requer-se a fixação do dano moral em R$ 10.000,00 (dez mil reais).</w:t>
      </w:r>
    </w:p>
    <w:p>
      <w:pPr>
        <w:spacing w:after="160" w:line="312" w:lineRule="auto"/>
        <w:jc w:val="left"/>
      </w:pPr>
      <w:r>
        <w:rPr>
          <w:b/>
          <w:i w:val="0"/>
        </w:rPr>
        <w:t>VI — DOS PEDIDOS</w:t>
      </w:r>
    </w:p>
    <w:p>
      <w:pPr>
        <w:spacing w:after="160" w:line="312" w:lineRule="auto"/>
        <w:jc w:val="both"/>
      </w:pPr>
      <w:r>
        <w:rPr>
          <w:b w:val="0"/>
          <w:i w:val="0"/>
        </w:rPr>
        <w:t>Ante todo o exposto, requer-se a Vossa Excelência: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a) a concessão da gratuidade da justiça para as instâncias de 1.º e 2.º graus (arts. 98 e 99, CPC);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b) a não designação de audiência de conciliação e mediação (art. 334, §5.º, CPC);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c) a concessão de TUTELA DE URGÊNCIA para limitar os descontos referentes ao contrato n.º 950001930887 ao valor de R$ 381,27 mensais (prestação revisada pela taxa média do BACEN, estimada a partir do prazo projetado de 36 parcelas e sujeita a ajuste ao cronograma real) — ou, subsidiariamente, para suspender os descontos até a exibição do cronograma —, bem como para vedar a negativação do nome da parte Autora por diferença decorrente da revisão, sob pena de multa diária de R$ 500,00;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d) a inversão do ônus da prova (art. 6.º, VIII, CDC), já no mandado de citação;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e) a intimação da Ré para exibir incidentalmente, no prazo legal, (i) o contrato n.º 950001930887, (ii) o respectivo cronograma de pagamento, com discriminação de taxas, CET, prazo, parcelas pagas, vincendas e saldo devedor, (iii) o contrato n.º 990000698483 (MB FACILITA CC) e todos os contratos anteriores da cadeia de renovações, e (iv) os registros eletrônicos da contratação por mobile banking (arts. 396 a 399, CPC), sob pena de presunção de veracidade dos fatos alegados (art. 400, I, CPC) e de aplicação da Súmula 530/STJ;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f) a citação da Ré para, querendo, contestar, sob pena de revelia e confissão (art. 344, CPC);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g) a TOTAL PROCEDÊNCIA da demanda (art. 487, I, CPC), com a declaração de abusividade das taxas praticadas e a revisão do contrato n.º 950001930887 e dos contratos antecedentes da cadeia de renovação, com recálculo unificado, readequando-se os encargos à taxa média de mercado divulgada pelo Banco Central do Brasil para a modalidade e o período, pelo Sistema Francês de Amortização, vedada a capitalização em taxa superior à média;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h) a condenação da Ré à repetição em dobro de todos os valores descontados acima do recálculo, apurados em liquidação, com correção monetária desde cada desconto e juros de mora desde a citação (art. 42, parágrafo único, CDC; EAREsp 676.608/RS), inclusive das parcelas que vencerem no curso do processo;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i) a condenação da Ré ao pagamento de indenização por dano moral no valor de R$ 10.000,00 (dez mil reais);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j) custas e honorários advocatícios de 20% sobre a condenação (art. 85, §2.º, CPC);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k) a produção de todos os meios de prova em direito admitidos, em especial a documental, a pericial contábil e o depoimento pessoal do representante legal da Ré, sob pena de confissão (art. 369, CPC).</w:t>
      </w:r>
    </w:p>
    <w:p>
      <w:pPr>
        <w:spacing w:after="160" w:line="312" w:lineRule="auto"/>
        <w:ind w:firstLine="709"/>
        <w:jc w:val="both"/>
      </w:pPr>
      <w:r>
        <w:rPr>
          <w:b w:val="0"/>
          <w:i w:val="0"/>
        </w:rPr>
        <w:t>Dá-se à causa o valor de R$ 24.121,12 (vinte e quatro mil, cento e vinte e um reais e doze centavos), correspondente à soma da projeção da repetição em dobro do excesso (R$ 14.121,12) e da indenização por danos morais (R$ 10.000,00), a ser adequado após a exibição do cronograma e dos contratos anteriores.</w:t>
      </w:r>
    </w:p>
    <w:p>
      <w:pPr>
        <w:spacing w:after="160" w:line="312" w:lineRule="auto"/>
        <w:jc w:val="left"/>
      </w:pPr>
      <w:r>
        <w:rPr>
          <w:b/>
          <w:i w:val="0"/>
        </w:rPr>
        <w:t>VII — DOS DOCUMENTOS</w:t>
      </w:r>
    </w:p>
    <w:p>
      <w:pPr>
        <w:spacing w:after="160" w:line="312" w:lineRule="auto"/>
        <w:jc w:val="both"/>
      </w:pPr>
      <w:r>
        <w:rPr>
          <w:b w:val="0"/>
          <w:i w:val="0"/>
        </w:rPr>
        <w:t>— Procuração e declaração de hipossuficiência;</w:t>
      </w:r>
    </w:p>
    <w:p>
      <w:pPr>
        <w:spacing w:after="160" w:line="312" w:lineRule="auto"/>
        <w:jc w:val="both"/>
      </w:pPr>
      <w:r>
        <w:rPr>
          <w:b w:val="0"/>
          <w:i w:val="0"/>
        </w:rPr>
        <w:t>— RG e CPF (RG n.º 04.220.542-59 contém o CPF);</w:t>
      </w:r>
    </w:p>
    <w:p>
      <w:pPr>
        <w:spacing w:after="160" w:line="312" w:lineRule="auto"/>
        <w:jc w:val="both"/>
      </w:pPr>
      <w:r>
        <w:rPr>
          <w:b w:val="0"/>
          <w:i w:val="0"/>
        </w:rPr>
        <w:t>— Certidão de casamento;</w:t>
      </w:r>
    </w:p>
    <w:p>
      <w:pPr>
        <w:spacing w:after="160" w:line="312" w:lineRule="auto"/>
        <w:jc w:val="both"/>
      </w:pPr>
      <w:r>
        <w:rPr>
          <w:b w:val="0"/>
          <w:i w:val="0"/>
        </w:rPr>
        <w:t>— Comprovante de residência;</w:t>
      </w:r>
    </w:p>
    <w:p>
      <w:pPr>
        <w:spacing w:after="160" w:line="312" w:lineRule="auto"/>
        <w:jc w:val="both"/>
      </w:pPr>
      <w:r>
        <w:rPr>
          <w:b w:val="0"/>
          <w:i w:val="0"/>
        </w:rPr>
        <w:t>— Tela de detalhes do contrato n.º 950001930887 (extrato do empréstimo);</w:t>
      </w:r>
    </w:p>
    <w:p>
      <w:pPr>
        <w:spacing w:after="160" w:line="312" w:lineRule="auto"/>
        <w:jc w:val="both"/>
      </w:pPr>
      <w:r>
        <w:rPr>
          <w:b w:val="0"/>
          <w:i w:val="0"/>
        </w:rPr>
        <w:t>— Memória de Cálculo (laudo) — projeção.</w:t>
      </w:r>
    </w:p>
    <w:p>
      <w:pPr>
        <w:spacing w:after="160" w:line="312" w:lineRule="auto"/>
        <w:jc w:val="both"/>
      </w:pPr>
      <w:r>
        <w:rPr>
          <w:b w:val="0"/>
          <w:i w:val="0"/>
        </w:rPr>
        <w:t>Nestes termos,</w:t>
      </w:r>
    </w:p>
    <w:p>
      <w:pPr>
        <w:spacing w:after="160" w:line="312" w:lineRule="auto"/>
        <w:jc w:val="both"/>
      </w:pPr>
      <w:r>
        <w:rPr>
          <w:b w:val="0"/>
          <w:i w:val="0"/>
        </w:rPr>
        <w:t>Pede deferimento.</w:t>
      </w:r>
    </w:p>
    <w:p>
      <w:pPr>
        <w:spacing w:after="160" w:line="312" w:lineRule="auto"/>
        <w:jc w:val="both"/>
      </w:pPr>
      <w:r>
        <w:rPr>
          <w:b w:val="0"/>
          <w:i w:val="0"/>
        </w:rPr>
        <w:t>Salvador/BA, 7 de outubro de 2026.</w:t>
      </w:r>
    </w:p>
    <w:p>
      <w:pPr>
        <w:spacing w:after="160" w:line="312" w:lineRule="auto"/>
        <w:jc w:val="center"/>
      </w:pPr>
      <w:r>
        <w:rPr>
          <w:b w:val="0"/>
          <w:i w:val="0"/>
        </w:rPr>
        <w:t>_______________________________</w:t>
      </w:r>
    </w:p>
    <w:p>
      <w:pPr>
        <w:spacing w:after="160" w:line="312" w:lineRule="auto"/>
        <w:jc w:val="center"/>
      </w:pPr>
      <w:r>
        <w:rPr>
          <w:b/>
          <w:i w:val="0"/>
        </w:rPr>
        <w:t>CLEYTON DA SILVA BARBOSA - OAB/BA 92.148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