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b/>
          <w:i w:val="0"/>
        </w:rPr>
        <w:t>AO JUÍZO DE DIREITO DA ___ª VARA CÍVEL DA COMARCA DE SALVADOR/BA</w:t>
      </w:r>
    </w:p>
    <w:p>
      <w:pPr>
        <w:spacing w:after="160" w:line="312" w:lineRule="auto"/>
        <w:jc w:val="both"/>
      </w:pPr>
      <w:r>
        <w:rPr>
          <w:b w:val="0"/>
          <w:i w:val="0"/>
        </w:rPr>
        <w:t>EMENTA: DIREITO DO CONSUMIDOR E DIREITO BANCÁRIO. AÇÃO REVISIONAL DE CONTRATO DE EMPRÉSTIMO CONSIGNADO PRIVADO (CLT), COM DESCONTO EM FOLHA E GARANTIA SOBRE VERBA RESCISÓRIA. PEDIDO INCIDENTAL DE EXIBIÇÃO DO CONTRATO (ARTS. 396 A 400, CPC). TAXA DECLARADA DE 4,98% a.m. EM CONFRONTO COM A TAXA MÉDIA DE 3,66% a.m. DIVULGADA PELO BANCO CENTRAL (1,36 VEZ A MÉDIA — ZONA DE INCERTEZA DO TEMA 1378/STJ). TAXA EFETIVA IMPLÍCITA DE 6,42% a.m. (1,75 VEZ A MÉDIA), SUPERIOR À DECLARADA. R$ 285,08 FINANCIADOS SEM DISCRIMINAÇÃO. GARANTIA SOBRE VERBA RESCISÓRIA DE NATUREZA ALIMENTAR. DEVER DE INFORMAÇÃO. REPETIÇÃO EM DOBRO (EAREsp 676.608/RS). TUTELA DE URGÊNCIA. PROCEDÊNCIA.</w:t>
      </w:r>
    </w:p>
    <w:p>
      <w:pPr>
        <w:spacing w:after="160" w:line="312" w:lineRule="auto"/>
        <w:jc w:val="left"/>
      </w:pPr>
      <w:r>
        <w:rPr>
          <w:b w:val="0"/>
          <w:i/>
        </w:rPr>
        <w:t>Consulta pública da taxa média de juros — Banco Central do Brasil: www3.bcb.gov.br/sgspub/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 xml:space="preserve">NÚBIA LUCAS DE OLIVEIRA, brasileira, </w:t>
      </w:r>
      <w:r>
        <w:rPr>
          <w:b w:val="0"/>
          <w:i w:val="0"/>
          <w:highlight w:val="yellow"/>
        </w:rPr>
        <w:t>[PREENCHER: estado civil]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[PREENCHER: profissão/função]</w:t>
      </w:r>
      <w:r>
        <w:rPr>
          <w:b w:val="0"/>
          <w:i w:val="0"/>
        </w:rPr>
        <w:t xml:space="preserve">, empregada sob o regime da Consolidação das Leis do Trabalho (empregador: Ulisses Bar e Restaurante Ltda.), portadora da Carteira de Identidade (CIN) com registro geral/CPF nº 934.659.125-00, inscrita no CPF sob o nº 934.659.125-00, nascida em 16/05/1976, residente e domiciliada na Travessa Macário dos Reis, nº 15, Santo Antônio, Itabuna/BA, CEP 45602-255 </w:t>
      </w:r>
      <w:r>
        <w:rPr>
          <w:b w:val="0"/>
          <w:i w:val="0"/>
          <w:highlight w:val="yellow"/>
        </w:rPr>
        <w:t>[PREENCHER: conferir complemento do endereço e e-mail]</w:t>
      </w:r>
      <w:r>
        <w:rPr>
          <w:b w:val="0"/>
          <w:i w:val="0"/>
        </w:rPr>
        <w:t>, vem, respeitosamente, por seu advogado infra-assinado (procuração anexa), à presença de Vossa Excelência, com fundamento nos arts. 1.º, III, 5.º, XXXII, e 170, V, da Constituição Federal, na Lei n.º 8.078/90 e no Código de Processo Civil, propor a presente</w:t>
      </w:r>
    </w:p>
    <w:p>
      <w:pPr>
        <w:spacing w:after="160" w:line="312" w:lineRule="auto"/>
        <w:jc w:val="center"/>
      </w:pPr>
      <w:r>
        <w:rPr>
          <w:b/>
          <w:i w:val="0"/>
        </w:rPr>
        <w:t>AÇÃO REVISIONAL DE CONTRATO C/C REPETIÇÃO DE INDÉBITO, PEDIDO INCIDENTAL DE EXIBIÇÃO DE CONTRATO, TUTELA DE URGÊNCIA E INDENIZAÇÃO POR DANOS MORAIS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em face de BANCO BMG S.A., pessoa jurídica de direito privado, inscrita no CNPJ sob o n.º 61.186.680/0001-74, com sede na Avenida Presidente Juscelino Kubitschek, n.º 1830, Torre 2, 10.º andar, Vila Nova Conceição, São Paulo/SP, CEP 04543-900, pelos fatos e fundamentos jurídicos a seguir articulados:</w:t>
      </w:r>
    </w:p>
    <w:p>
      <w:pPr>
        <w:spacing w:after="160" w:line="312" w:lineRule="auto"/>
        <w:jc w:val="left"/>
      </w:pPr>
      <w:r>
        <w:rPr>
          <w:b/>
          <w:i w:val="0"/>
        </w:rPr>
        <w:t>SEÇÃO I — DAS QUESTÕES PRELIMINARES</w:t>
      </w:r>
    </w:p>
    <w:p>
      <w:pPr>
        <w:spacing w:after="160" w:line="312" w:lineRule="auto"/>
        <w:jc w:val="left"/>
      </w:pPr>
      <w:r>
        <w:rPr>
          <w:b/>
          <w:i w:val="0"/>
        </w:rPr>
        <w:t>1. Da gratuidade da justiça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parte Autora é trabalhadora assalariada, empregada de um bar e restaurante, e sua renda — precisamente a renda que a Ré vem corroendo com os encargos adiante demonstrados — não comporta o pagamento de custas processuais e honorários advocatícios sem sacrifício do sustento próprio e familiar. Requer-se a concessão da gratuidade da justiça, na forma do art. 5.º, LXXIV, da Constituição Federal e dos arts. 98 e seguintes do Código de Processo Civil, conforme declaração de hipossuficiência anexa.</w:t>
      </w:r>
    </w:p>
    <w:p>
      <w:pPr>
        <w:spacing w:after="160" w:line="312" w:lineRule="auto"/>
        <w:jc w:val="left"/>
      </w:pPr>
      <w:r>
        <w:rPr>
          <w:b/>
          <w:i w:val="0"/>
        </w:rPr>
        <w:t>2. Do desinteresse na audiência de conciliação e mediação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parte Autora manifesta, desde logo, desinteresse na designação da audiência do art. 334 do CPC (§ 5.º), em prestígio à razoável duração do processo (art. 5.º, LXXVIII, CF/88), diante da urgência material da causa, que envolve descontos mensais em folha de pagamento.</w:t>
      </w:r>
    </w:p>
    <w:p>
      <w:pPr>
        <w:spacing w:after="160" w:line="312" w:lineRule="auto"/>
        <w:jc w:val="left"/>
      </w:pPr>
      <w:r>
        <w:rPr>
          <w:b/>
          <w:i w:val="0"/>
        </w:rPr>
        <w:t>3. Do julgamento antecipado do mérito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controvérsia é essencialmente documental: de um lado, os dados do contrato (taxa, CET, prazo e valores) e, após a exibição incidental, o próprio instrumento; de outro, a série histórica oficial do Banco Central do Brasil, dado público e notório. Requer-se o julgamento antecipado do mérito (art. 355, I, do CPC), após a exibição do contrato.</w:t>
      </w:r>
    </w:p>
    <w:p>
      <w:pPr>
        <w:spacing w:after="160" w:line="312" w:lineRule="auto"/>
        <w:jc w:val="left"/>
      </w:pPr>
      <w:r>
        <w:rPr>
          <w:b/>
          <w:i w:val="0"/>
        </w:rPr>
        <w:t>SEÇÃO II — DOS FATOS</w:t>
      </w:r>
    </w:p>
    <w:p>
      <w:pPr>
        <w:spacing w:after="160" w:line="312" w:lineRule="auto"/>
        <w:jc w:val="left"/>
      </w:pPr>
      <w:r>
        <w:rPr>
          <w:b/>
          <w:i w:val="0"/>
        </w:rPr>
        <w:t>1. Da contratação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parte Autora, empregada sob o regime celetista na empresa Ulisses Bar e Restaurante Ltda. (matrícula 00060000012, conforme o aplicativo da instituição), contratou com a Ré empréstimo consignado privado, com desconto em folha de pagamento, registrado sob o n.º 4679034581. Os dados abaixo foram extraídos das telas do aplicativo da própria Ré (atualizadas em 03/10/2026), juntadas aos autos, pois a Autora não dispõe do instrumento contratual: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ITEM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CONDIÇÕES INFORMADAS PELA RÉ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Contrato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n.º 4679034581 (situação: ativo)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Valor do empréstimo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R$ 1.976,31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Valor efetivamente liberado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R$ 1.691,23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Diferença sem discriminação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R$ 285,08 (14,42% do valor financiado)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Parcelas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14 de R$ 218,18 (3 pagas)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Total a pagar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R$ 3.054,52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Saldo devedor informado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R$ 1.822,53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Vigência / descontos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05/05/2026 a 26/08/2027 / JUN/2026 a JUL/2027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Taxa de juros / CET informados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4,98% a.m. / 4,98% a.m.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Garantia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Verba rescisória (12,76%), multa rescisória e saldo do FGTS</w:t>
            </w:r>
          </w:p>
        </w:tc>
      </w:tr>
    </w:tbl>
    <w:p/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Autora recebeu R$ 1.691,23 e, ao final, terá pago R$ 3.054,52 — multiplicador de 1,8061 vez sobre o capital efetivamente recebido, isto é, R$ 1.363,29 (80,61%) a título de juros e encargos.</w:t>
      </w:r>
    </w:p>
    <w:p>
      <w:pPr>
        <w:spacing w:after="160" w:line="312" w:lineRule="auto"/>
        <w:jc w:val="left"/>
      </w:pPr>
      <w:r>
        <w:rPr>
          <w:b/>
          <w:i w:val="0"/>
        </w:rPr>
        <w:t>2. Da demonstração aritmética: taxa declarada, taxa efetiva e taxa média de mercado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No mês da contratação (maio/2026), a taxa média de mercado para a modalidade, apurada e divulgada pelo Banco Central do Brasil, era de 3,66% ao mês (53,93% ao ano) — documento anexo. O quadro comparativo é o seguinte: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PARÂMETRO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CONTRATO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MERCADO (BACEN)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Taxa mensal declarada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4,98% a.m. (79,18% a.a.)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3,66% a.m. (53,93% a.a.)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Taxa efetiva implícita (PV R$ 1.976,31; 14 x R$ 218,18)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6,42% a.m. (110,99% a.a.)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3,66% a.m.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Taxa efetiva sobre o valor liberado (R$ 1.691,23)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9,08% a.m. (183,73% a.a.)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3,66% a.m.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Proporção sobre a média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1,36 (declarada) / 1,75 (implícita)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1,00 (referencial)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Valor da prestação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R$ 218,18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R$ 182,92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Excesso mensal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R$ 35,26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—</w:t>
            </w:r>
          </w:p>
        </w:tc>
      </w:tr>
    </w:tbl>
    <w:p/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Registra-se, com lealdade, que a taxa declarada (4,98% a.m.) corresponde a 1,36 vez a taxa média e situa-se abaixo da régua de uma vez e meia (5,49% a.m.), isto é, na denominada zona de incerteza (entre 1x e 1,5x) discutida no Tema 1378/STJ. Contudo, a taxa efetivamente embutida no fluxo contratado é outra: aplicada a taxa de 4,98% ao valor financiado e ao prazo de 14 meses, a prestação seria de R$ 199,40, e não de R$ 218,18. Essa divergência — de R$ 18,78 por mês — revela que a taxa efetiva implícita é de 6,42% ao mês (1,75 vez a média, acima da régua de 1,5x, que seria de 5,49%), o que indica encargos não declarados no CET informado ou inconsistência da informação prestada. Há, ainda, a diferença de R$ 285,08 entre o valor financiado e o valor liberado, sem qualquer discriminação (IOF, tarifas, seguro ou outro encargo), que foi incorporada ao saldo sobre o qual incidem os juros.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Anote-se, ainda, que a taxa mensal de 4,98% corresponde, no regime composto, a 79,18% ao ano, ao passo que o duodécuplo simples seria de 59,76% ao ano — diferença de 19,42 pontos percentuais, a evidenciar a capitalização composta de juros, cuja pactuação expressa e destacada deverá ser comprovada pela Ré.</w:t>
      </w:r>
    </w:p>
    <w:p>
      <w:pPr>
        <w:spacing w:after="160" w:line="312" w:lineRule="auto"/>
        <w:jc w:val="left"/>
      </w:pPr>
      <w:r>
        <w:rPr>
          <w:b/>
          <w:i w:val="0"/>
        </w:rPr>
        <w:t>3. Da arquitetura da operação: verba rescisória em garantia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O elemento que singulariza a operação é a sua estrutura de garantia. Conforme a própria tela do aplicativo da Ré, o contrato mantém "valores retidos durante a vigência do empréstimo, que podem ser utilizados para quitar o empréstimo", com garantia sobre a verba rescisória (12,76%), a multa rescisória e o saldo do FGTS. Trata-se de crédito com desconto direto em folha, descontado antes que a trabalhadora tenha acesso ao salário, e ainda garantido por verbas de natureza alimentar devidas na eventual rescisão do contrato de trabalho. O risco de inadimplência, nessa estrutura, é substancialmente reduzido, o que não se coaduna com a cobrança de encargos acima da média de mercado.</w:t>
      </w:r>
    </w:p>
    <w:p>
      <w:pPr>
        <w:spacing w:after="160" w:line="312" w:lineRule="auto"/>
        <w:jc w:val="left"/>
      </w:pPr>
      <w:r>
        <w:rPr>
          <w:b/>
          <w:i w:val="0"/>
        </w:rPr>
        <w:t>SEÇÃO III — DO PEDIDO INCIDENTAL DE EXIBIÇÃO DO CONTRATO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Autora não possui o instrumento contratual, nem o detalhamento da composição dos R$ 285,08 retidos, do IOF, de eventuais tarifas e seguros, da taxa anual, da cláusula de capitalização e do CET detalhado; dispõe apenas dos dados do aplicativo. Requer-se, incidentalmente, que a Ré seja intimada a exibir a integralidade do instrumento contratual do contrato n.º 4679034581, com a proposta, o termo de autorização de desconto em folha, a discriminação de taxas, CET, IOF, tarifas, seguros, encargos financiados, a planilha de evolução do saldo e o termo de garantia sobre verbas rescisórias, nos termos dos arts. 396 a 399 do CPC, em harmonia com o direito básico à informação adequada (art. 6.º, III, CDC).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 xml:space="preserve">É desnecessário o prévio requerimento administrativo, pois o pedido é formulado incidentalmente, como técnica instrutória na própria ação revisional, com fundamento direto nos arts. 396 e seguintes do CPC, conforme entendimento reiterado de tribunais estaduais (v.g., TJMG, AI 1.0000.18.008471-7/003, 15.ª Câmara Cível, j. 02/07/2021, e TJMG, Apelação Cível 1.0000.19.050887-9/001, 9.ª Câmara Cível, j. 09/07/2019 </w:t>
      </w:r>
      <w:r>
        <w:rPr>
          <w:b w:val="0"/>
          <w:i w:val="0"/>
          <w:highlight w:val="yellow"/>
        </w:rPr>
        <w:t>[PREENCHER: conferir as ementas antes do protocolo]</w:t>
      </w:r>
      <w:r>
        <w:rPr>
          <w:b w:val="0"/>
          <w:i w:val="0"/>
        </w:rPr>
        <w:t>).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Não exibido o documento, incidem a presunção de veracidade dos fatos que a Autora pretendia provar (art. 400, I, CPC) e a Súmula 530/STJ:</w:t>
      </w:r>
    </w:p>
    <w:p>
      <w:pPr>
        <w:spacing w:after="160" w:line="240" w:lineRule="auto"/>
        <w:ind w:left="2268"/>
        <w:jc w:val="both"/>
      </w:pPr>
      <w:r>
        <w:rPr>
          <w:b w:val="0"/>
          <w:i/>
        </w:rPr>
        <w:t>"Nos contratos bancários, na impossibilidade de comprovar a taxa de juros efetivamente contratada — por ausência de pactuação ou pela falta de juntada do instrumento aos autos —, aplica-se a taxa média de mercado, divulgada pelo Bacen, praticada nas operações da mesma espécie, salvo se a taxa cobrada for mais vantajosa para o devedor." (Súmula 530/STJ)</w:t>
      </w:r>
    </w:p>
    <w:p>
      <w:pPr>
        <w:spacing w:after="160" w:line="312" w:lineRule="auto"/>
        <w:jc w:val="left"/>
      </w:pPr>
      <w:r>
        <w:rPr>
          <w:b/>
          <w:i w:val="0"/>
        </w:rPr>
        <w:t>SEÇÃO IV — DO DIREITO</w:t>
      </w:r>
    </w:p>
    <w:p>
      <w:pPr>
        <w:spacing w:after="160" w:line="312" w:lineRule="auto"/>
        <w:jc w:val="left"/>
      </w:pPr>
      <w:r>
        <w:rPr>
          <w:b/>
          <w:i w:val="0"/>
        </w:rPr>
        <w:t>1. Da aplicação do Código de Defesa do Consumidor às instituições financeiras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O Código de Defesa do Consumidor aplica-se às instituições financeiras (Súmula 297/STJ), conforme também decidido pelo Supremo Tribunal Federal na ADI 2.591, que reconheceu as operações bancárias como serviço (art. 3.º, § 2.º, CDC). Incidem, em bloco, a vulnerabilidade do consumidor (art. 4.º, I), o dever de informação clara e adequada (arts. 6.º, III, 31, 46 e 52), a nulidade das cláusulas abusivas (art. 51, IV e § 1.º, III), a vedação à vantagem manifestamente excessiva (art. 39, V) e a responsabilidade objetiva do fornecedor (art. 14).</w:t>
      </w:r>
    </w:p>
    <w:p>
      <w:pPr>
        <w:spacing w:after="160" w:line="312" w:lineRule="auto"/>
        <w:jc w:val="left"/>
      </w:pPr>
      <w:r>
        <w:rPr>
          <w:b/>
          <w:i w:val="0"/>
        </w:rPr>
        <w:t>2. Da abusividade dos juros e da zona de incerteza do Tema 1378/STJ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O sistema de controle dos juros remuneratórios bancários foi construído pelo STJ no REsp 1.061.530/RS (Tema 27, recursos repetitivos), que admite a revisão quando cabalmente demonstrada a abusividade capaz de colocar o consumidor em desvantagem exagerada (art. 51, § 1.º, CDC), adotando a taxa média de mercado divulgada pelo Banco Central como referencial objetivo.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 xml:space="preserve">Por lealdade processual, registra-se que a Segunda Seção do STJ afetou ao rito dos recursos repetitivos o Tema 1378 (Rel. Min. Antonio Carlos Ferreira; paradigmas REsp 2.227.276/AL, 2.227.844/RS, 2.227.280/PR e 2.227.287/MG </w:t>
      </w:r>
      <w:r>
        <w:rPr>
          <w:b w:val="0"/>
          <w:i w:val="0"/>
          <w:highlight w:val="yellow"/>
        </w:rPr>
        <w:t>[PREENCHER: conferir andamento e tese eventualmente já fixada]</w:t>
      </w:r>
      <w:r>
        <w:rPr>
          <w:b w:val="0"/>
          <w:i w:val="0"/>
        </w:rPr>
        <w:t>), para definir a suficiência da taxa média como fundamento exclusivo da abusividade. A suspensão decorrente da afetação alcança os recursos especiais (art. 1.037, II, CPC), não o curso desta ação em primeiro grau.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taxa declarada de 4,98% a.m. está na zona de incerteza (1,36 vez a média). A presente ação, porém, não se funda exclusivamente na taxa média. A abusividade decorre do conjunto das circunstâncias concretas, todas documentadas: (i) a taxa efetiva implícita de 6,42% a.m. (1,75 vez a média, acima da régua de 1,5x) supera a declarada, o que demonstra violação do dever de informação e a existência de encargos não revelados no CET; (ii) R$ 285,08 (14,42% do valor financiado) foram incorporados ao saldo sem qualquer discriminação, de modo que, sobre o valor efetivamente liberado, a taxa chega a 9,08% a.m.; (iii) o desconto é feito diretamente em folha, com garantia sobre verbas rescisórias de natureza alimentar, o que reduz o risco de crédito e não justifica sobrepreço; (iv) trata-se de trabalhadora celetista vulnerável, que contratou por adesão por meio de aplicativo, sem acesso ao instrumento; e (v) a Súmula 530/STJ constitui fundamento autônomo se o contrato não for exibido. Qualquer que seja a tese que venha a ser fixada no Tema 1378, o conjunto de circunstâncias concretas aqui demonstrado atende à exigência de análise das peculiaridades do caso.</w:t>
      </w:r>
    </w:p>
    <w:p>
      <w:pPr>
        <w:spacing w:after="160" w:line="312" w:lineRule="auto"/>
        <w:jc w:val="left"/>
      </w:pPr>
      <w:r>
        <w:rPr>
          <w:b/>
          <w:i w:val="0"/>
        </w:rPr>
        <w:t>3. Do dever de informação e dos encargos financiados sem discriminação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O art. 52 do CDC exige informação prévia e adequada sobre o preço do crédito, o montante dos juros e demais encargos, a taxa efetiva anual e o total a pagar. Os dados expostos pela Ré omitem o IOF, as tarifas, a taxa anual e a composição dos R$ 285,08. Encargos que não são informados e discriminados são ineficazes perante o consumidor (art. 46 do CDC) e devem ser excluídos do saldo de amortização, ou, no mínimo, revelados mediante a exibição do instrumento. Requer-se, assim, o recálculo do contrato com a exclusão dos encargos financiados que não sejam comprovados e legitimamente pactuados, apurando-se a diferença na fase de liquidação, de forma subsidiária.</w:t>
      </w:r>
    </w:p>
    <w:p>
      <w:pPr>
        <w:spacing w:after="160" w:line="312" w:lineRule="auto"/>
        <w:jc w:val="left"/>
      </w:pPr>
      <w:r>
        <w:rPr>
          <w:b/>
          <w:i w:val="0"/>
        </w:rPr>
        <w:t>4. Da capitalização de juros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capitalização de juros somente é admitida quando expressamente pactuada (Súmula 541/STJ), vedado o anatocismo nos demais casos (Súmula 121/STF). O aplicativo não informa a taxa anual nem a cláusula de capitalização, e há evidente diferença entre a taxa mensal e a anual. Requer-se que a Ré comprove a pactuação expressa e destacada da capitalização, sob pena de vedação da capitalização em taxa superior à média.</w:t>
      </w:r>
    </w:p>
    <w:p>
      <w:pPr>
        <w:spacing w:after="160" w:line="312" w:lineRule="auto"/>
        <w:jc w:val="left"/>
      </w:pPr>
      <w:r>
        <w:rPr>
          <w:b/>
          <w:i w:val="0"/>
        </w:rPr>
        <w:t>5. Da garantia sobre verbas rescisórias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vinculação de verbas rescisórias, multa rescisória e saldo do FGTS como garantia de empréstimo expõe verbas de natureza alimentar ao risco de apropriação pelo credor, em momento de especial vulnerabilidade do trabalhador, que é o da perda do emprego. Requer-se que a Ré exiba o termo de garantia e esclareça sua extensão, bem como que seja limitada a eventual retenção ao valor do saldo devedor revisado, vedada a compensação de valores acima do que for apurado como devido nesta ação, em atenção ao art. 51, IV, do CDC e ao caráter alimentar dessas verbas (art. 7.º, X, CF/88).</w:t>
      </w:r>
    </w:p>
    <w:p>
      <w:pPr>
        <w:spacing w:after="160" w:line="312" w:lineRule="auto"/>
        <w:jc w:val="left"/>
      </w:pPr>
      <w:r>
        <w:rPr>
          <w:b/>
          <w:i w:val="0"/>
        </w:rPr>
        <w:t>6. Do mínimo existencial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O salário recebeu da Constituição regime protetivo (art. 7.º, IV e X), vinculado à dignidade da pessoa humana (art. 1.º, III) e à valorização do trabalho como fundamento da ordem econômica (art. 170, caput). Não se pede a invalidação do crédito, nem se nega o dever de restituir o capital com remuneração justa: pede-se que a remuneração observe a taxa média de mercado e que os encargos não informados sejam afastados.</w:t>
      </w:r>
    </w:p>
    <w:p>
      <w:pPr>
        <w:spacing w:after="160" w:line="312" w:lineRule="auto"/>
        <w:jc w:val="left"/>
      </w:pPr>
      <w:r>
        <w:rPr>
          <w:b/>
          <w:i w:val="0"/>
        </w:rPr>
        <w:t>7. Da inversão do ônus da prova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hipossuficiência técnica da Autora, que não dispõe do contrato nem da composição dos encargos, em face de instituição financeira detentora exclusiva da documentação, impõe a inversão do ônus da prova (art. 6.º, VIII, CDC), cabendo à Ré demonstrar a regularidade das taxas, a pactuação da capitalização e a composição dos R$ 285,08 retidos.</w:t>
      </w:r>
    </w:p>
    <w:p>
      <w:pPr>
        <w:spacing w:after="160" w:line="312" w:lineRule="auto"/>
        <w:jc w:val="left"/>
      </w:pPr>
      <w:r>
        <w:rPr>
          <w:b/>
          <w:i w:val="0"/>
        </w:rPr>
        <w:t>8. Da tutela de urgência — art. 300 do CPC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probabilidade do direito decorre dos dados do próprio aplicativo da Ré e da série histórica do Banco Central, que evidenciam a divergência entre a taxa declarada e a taxa implícita. O perigo de dano reside nos descontos mensais em folha de verba salarial, ainda incidentes em 11 parcelas vincendas (parcelas 4 a 14, de set/2026 a jul/2027). Requer-se tutela de urgência para limitar os descontos vincendos ao valor recalculado pela taxa média, de R$ 182,92 por parcela (em vez de R$ 218,18), sob pena de multa diária de R$ 500,00, vedada a inscrição da Autora em cadastros de inadimplentes e a retenção de verbas rescisórias além do valor incontroverso. Na hipótese de a revisão ser acolhida, a diferença ficará depositada em juízo ou apurada em liquidação.</w:t>
      </w:r>
    </w:p>
    <w:p>
      <w:pPr>
        <w:spacing w:after="160" w:line="312" w:lineRule="auto"/>
        <w:jc w:val="left"/>
      </w:pPr>
      <w:r>
        <w:rPr>
          <w:b/>
          <w:i w:val="0"/>
        </w:rPr>
        <w:t>SEÇÃO V — DOS DANOS</w:t>
      </w:r>
    </w:p>
    <w:p>
      <w:pPr>
        <w:spacing w:after="160" w:line="312" w:lineRule="auto"/>
        <w:jc w:val="left"/>
      </w:pPr>
      <w:r>
        <w:rPr>
          <w:b/>
          <w:i w:val="0"/>
        </w:rPr>
        <w:t>1. Danos materiais — repetição do indébito em dobro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Recalculado o contrato pela taxa média de 3,66% a.m., pelo Sistema Francês de Amortização, mantidos o valor financiado (R$ 1.976,31) e o prazo de 14 meses, a prestação seria de R$ 182,92, resultando em excesso de R$ 35,26 por parcela. Conforme a Memória de Cálculo (Doc.), as 3 parcelas pagas (jun, jul e ago/2026) geram excesso de R$ 105,78 nominais, de R$ 105,55 corrigidos pelo IPCA, que, em dobro (art. 42, parágrafo único, do CDC), totaliza R$ 211,10. O valor incontroverso do contrato é de R$ 2.560,88, contra R$ 3.054,52 cobrados.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Registra-se que o cálculo toma por premissa o adimplemento das 3 parcelas informadas pelo aplicativo (a comprovar por contracheques/holerites e extrato do aplicativo), e que o excesso das parcelas vincendas (R$ 387,86 nominais) não integra a repetição, por ainda não ter sido pago, compondo apenas o pedido de limitação dos descontos; havendo novos pagamentos no curso da ação, a repetição será acrescida das parcelas pagas (art. 323 do CPC), conforme liquidação. Os valores devem ser conferidos por perícia contábil e atualizados na data do ajuizamento. Cenário alternativo, com recálculo sobre o valor efetivamente liberado (R$ 1.691,23), com exclusão dos encargos financiados sem discriminação, resulta em prestação revisada de R$ 156,53 e excesso mensal de R$ 61,65, a ser apurado após a exibição do contrato.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Corte Especial do STJ fixou tese que dispensa a perquirição do elemento volitivo:</w:t>
      </w:r>
    </w:p>
    <w:p>
      <w:pPr>
        <w:spacing w:after="160" w:line="240" w:lineRule="auto"/>
        <w:ind w:left="2268"/>
        <w:jc w:val="both"/>
      </w:pPr>
      <w:r>
        <w:rPr>
          <w:b w:val="0"/>
          <w:i/>
        </w:rPr>
        <w:t>"A restituição em dobro do indébito (parágrafo único do artigo 42 do CDC) independe da natureza do elemento volitivo do fornecedor que cobrou valor indevido, revelando-se cabível quando a cobrança indevida consubstanciar conduta contrária à boa-fé objetiva." (STJ, Corte Especial, EAREsp 676.608/RS, Rel. Min. Og Fernandes, j. 21/10/2020)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 cobrança de taxa efetiva superior à declarada, com encargos financiados sem discriminação, sobre verba salarial descontada em folha, contraria a boa-fé objetiva. Devidos, pois, R$ 211,10 (duzentos e onze reais e dez centavos), com correção monetária desde cada desembolso e juros de mora desde a citação, sem prejuízo da apuração em liquidação.</w:t>
      </w:r>
    </w:p>
    <w:p>
      <w:pPr>
        <w:spacing w:after="160" w:line="312" w:lineRule="auto"/>
        <w:jc w:val="left"/>
      </w:pPr>
      <w:r>
        <w:rPr>
          <w:b/>
          <w:i w:val="0"/>
        </w:rPr>
        <w:t>2. Do dano moral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O dano moral é único, mas se manifesta em três dimensões. A primeira é a da exposição ao abuso: a cobrança de encargos superiores aos informados, sem discriminação, sobre a remuneração do trabalho, descontada na fonte, ultrapassa o mero dissabor. A segunda é a do tempo subtraído (desvio produtivo do consumidor): a Autora precisou buscar orientação jurídica, reunir documentos e acionar o Judiciário para obter informações que a Ré deveria ter fornecido espontaneamente. A terceira é a da privação material: cada parcela em excesso retirada do salário de trabalhadora de renda presumivelmente baixa, ainda com verbas rescisórias dadas em garantia, afeta o orçamento destinado à subsistência (arts. 1.º, III, e 7.º, IV e X, CF/88).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Adotado o método bifásico do STJ, considerando a natureza alimentar da verba, a opacidade da contratação, o tempo despendido e o porte econômico da Ré, requer-se a fixação da indenização em R$ 10.000,00 (dez mil reais), sem prejuízo do prudente arbítrio de Vossa Excelência.</w:t>
      </w:r>
    </w:p>
    <w:p>
      <w:pPr>
        <w:spacing w:after="160" w:line="312" w:lineRule="auto"/>
        <w:jc w:val="left"/>
      </w:pPr>
      <w:r>
        <w:rPr>
          <w:b/>
          <w:i w:val="0"/>
        </w:rPr>
        <w:t>SEÇÃO VI — DOS PEDIDOS</w:t>
      </w:r>
    </w:p>
    <w:p>
      <w:pPr>
        <w:spacing w:after="160" w:line="312" w:lineRule="auto"/>
        <w:jc w:val="both"/>
      </w:pPr>
      <w:r>
        <w:rPr>
          <w:b w:val="0"/>
          <w:i w:val="0"/>
        </w:rPr>
        <w:t>Ante todo o exposto, requer-se a Vossa Excelência:</w:t>
      </w:r>
    </w:p>
    <w:p>
      <w:pPr>
        <w:spacing w:after="160" w:line="312" w:lineRule="auto"/>
        <w:jc w:val="both"/>
      </w:pPr>
      <w:r>
        <w:rPr>
          <w:b w:val="0"/>
          <w:i w:val="0"/>
        </w:rPr>
        <w:t>a) a concessão dos benefícios da gratuidade da justiça, nos termos dos arts. 98 e 99 do CPC;</w:t>
      </w:r>
    </w:p>
    <w:p>
      <w:pPr>
        <w:spacing w:after="160" w:line="312" w:lineRule="auto"/>
        <w:jc w:val="both"/>
      </w:pPr>
      <w:r>
        <w:rPr>
          <w:b w:val="0"/>
          <w:i w:val="0"/>
        </w:rPr>
        <w:t>b) a não designação de audiência de conciliação e mediação, ante o desinteresse da parte Autora (art. 334, § 5.º, CPC);</w:t>
      </w:r>
    </w:p>
    <w:p>
      <w:pPr>
        <w:spacing w:after="160" w:line="312" w:lineRule="auto"/>
        <w:jc w:val="both"/>
      </w:pPr>
      <w:r>
        <w:rPr>
          <w:b w:val="0"/>
          <w:i w:val="0"/>
        </w:rPr>
        <w:t>c) a concessão de TUTELA DE URGÊNCIA para limitar os descontos vincendos do contrato n.º 4679034581 ao valor recalculado pela taxa média divulgada pelo BACEN (R$ 182,92 por parcela), sob pena de multa diária de R$ 500,00, vedada a inscrição da Autora em cadastros de inadimplentes e a retenção de verbas rescisórias além do valor incontroverso;</w:t>
      </w:r>
    </w:p>
    <w:p>
      <w:pPr>
        <w:spacing w:after="160" w:line="312" w:lineRule="auto"/>
        <w:jc w:val="both"/>
      </w:pPr>
      <w:r>
        <w:rPr>
          <w:b w:val="0"/>
          <w:i w:val="0"/>
        </w:rPr>
        <w:t>d) a inversão do ônus da prova (art. 6.º, VIII, CDC), já no mandado de citação;</w:t>
      </w:r>
    </w:p>
    <w:p>
      <w:pPr>
        <w:spacing w:after="160" w:line="312" w:lineRule="auto"/>
        <w:jc w:val="both"/>
      </w:pPr>
      <w:r>
        <w:rPr>
          <w:b w:val="0"/>
          <w:i w:val="0"/>
        </w:rPr>
        <w:t>e) a intimação da Ré para exibir, incidentalmente, a integralidade do instrumento contratual do contrato n.º 4679034581, com proposta, autorização de desconto, termo de garantia sobre verba rescisória, discriminação de taxas, CET, IOF, tarifas, seguros e encargos financiados (R$ 285,08), e planilha de evolução do saldo (arts. 396 a 399, CPC), sob pena de presunção de veracidade dos fatos alegados (art. 400, I, CPC) e de aplicação da Súmula 530/STJ;</w:t>
      </w:r>
    </w:p>
    <w:p>
      <w:pPr>
        <w:spacing w:after="160" w:line="312" w:lineRule="auto"/>
        <w:jc w:val="both"/>
      </w:pPr>
      <w:r>
        <w:rPr>
          <w:b w:val="0"/>
          <w:i w:val="0"/>
        </w:rPr>
        <w:t>f) a citação da Ré para, querendo, contestar, sob pena de revelia e confissão quanto à matéria de fato (art. 344, CPC);</w:t>
      </w:r>
    </w:p>
    <w:p>
      <w:pPr>
        <w:spacing w:after="160" w:line="312" w:lineRule="auto"/>
        <w:jc w:val="both"/>
      </w:pPr>
      <w:r>
        <w:rPr>
          <w:b w:val="0"/>
          <w:i w:val="0"/>
        </w:rPr>
        <w:t>g) a declaração de abusividade dos encargos praticados e a revisão do contrato, com readequação dos encargos à taxa média de mercado divulgada pelo Banco Central para a modalidade e o período da contratação, pelo Sistema Francês de Amortização, vedada a capitalização em taxa superior à média;</w:t>
      </w:r>
    </w:p>
    <w:p>
      <w:pPr>
        <w:spacing w:after="160" w:line="312" w:lineRule="auto"/>
        <w:jc w:val="both"/>
      </w:pPr>
      <w:r>
        <w:rPr>
          <w:b w:val="0"/>
          <w:i w:val="0"/>
        </w:rPr>
        <w:t>h) a declaração de ineficácia dos encargos financiados sem discriminação (R$ 285,08), na parte que não for comprovada e legitimamente pactuada, com recálculo do saldo, e a limitação da garantia sobre verbas rescisórias ao saldo devedor revisado;</w:t>
      </w:r>
    </w:p>
    <w:p>
      <w:pPr>
        <w:spacing w:after="160" w:line="312" w:lineRule="auto"/>
        <w:jc w:val="both"/>
      </w:pPr>
      <w:r>
        <w:rPr>
          <w:b w:val="0"/>
          <w:i w:val="0"/>
        </w:rPr>
        <w:t>i) a condenação da Ré à repetição do indébito em dobro, no valor de R$ 211,10 (parcelas pagas até 08/2026), acrescido das parcelas pagas no curso da ação, nos termos do art. 42, parágrafo único, do CDC e do EAREsp 676.608/RS, com correção monetária desde cada desembolso e juros de mora desde a citação;</w:t>
      </w:r>
    </w:p>
    <w:p>
      <w:pPr>
        <w:spacing w:after="160" w:line="312" w:lineRule="auto"/>
        <w:jc w:val="both"/>
      </w:pPr>
      <w:r>
        <w:rPr>
          <w:b w:val="0"/>
          <w:i w:val="0"/>
        </w:rPr>
        <w:t>j) a condenação da Ré ao pagamento de indenização por dano moral no valor de R$ 10.000,00 (dez mil reais);</w:t>
      </w:r>
    </w:p>
    <w:p>
      <w:pPr>
        <w:spacing w:after="160" w:line="312" w:lineRule="auto"/>
        <w:jc w:val="both"/>
      </w:pPr>
      <w:r>
        <w:rPr>
          <w:b w:val="0"/>
          <w:i w:val="0"/>
        </w:rPr>
        <w:t>k) a condenação da Ré em custas processuais e honorários advocatícios de 20% sobre o valor da condenação (art. 85, § 2.º, CPC);</w:t>
      </w:r>
    </w:p>
    <w:p>
      <w:pPr>
        <w:spacing w:after="160" w:line="312" w:lineRule="auto"/>
        <w:jc w:val="both"/>
      </w:pPr>
      <w:r>
        <w:rPr>
          <w:b w:val="0"/>
          <w:i w:val="0"/>
        </w:rPr>
        <w:t>l) a produção de todas as provas em direito admitidas, em especial a documental, a pericial contábil e o depoimento pessoal do representante legal da Ré.</w:t>
      </w:r>
    </w:p>
    <w:p>
      <w:pPr>
        <w:spacing w:after="160" w:line="312" w:lineRule="auto"/>
        <w:ind w:firstLine="850"/>
        <w:jc w:val="both"/>
      </w:pPr>
      <w:r>
        <w:rPr>
          <w:b w:val="0"/>
          <w:i w:val="0"/>
        </w:rPr>
        <w:t>Dá-se à causa o valor de R$ 10.211,10 (dez mil, duzentos e onze reais e dez centavos), correspondente à repetição em dobro (R$ 211,10) somada ao dano moral (R$ 10.000,00).</w:t>
      </w:r>
    </w:p>
    <w:p>
      <w:pPr>
        <w:spacing w:after="160" w:line="312" w:lineRule="auto"/>
        <w:jc w:val="left"/>
      </w:pPr>
      <w:r>
        <w:rPr>
          <w:b/>
          <w:i w:val="0"/>
        </w:rPr>
        <w:t>DOCUMENTOS QUE ACOMPANHAM A INICIAL</w:t>
      </w:r>
    </w:p>
    <w:p>
      <w:pPr>
        <w:spacing w:after="40" w:line="312" w:lineRule="auto"/>
        <w:jc w:val="both"/>
      </w:pPr>
      <w:r>
        <w:rPr>
          <w:b w:val="0"/>
          <w:i w:val="0"/>
        </w:rPr>
        <w:t xml:space="preserve">1. Procuração e declaração de hipossuficiência </w:t>
      </w:r>
      <w:r>
        <w:rPr>
          <w:b w:val="0"/>
          <w:i w:val="0"/>
          <w:highlight w:val="yellow"/>
        </w:rPr>
        <w:t>[PREENCHER: juntar]</w:t>
      </w:r>
      <w:r>
        <w:rPr>
          <w:b w:val="0"/>
          <w:i w:val="0"/>
        </w:rPr>
        <w:t>;</w:t>
      </w:r>
    </w:p>
    <w:p>
      <w:pPr>
        <w:spacing w:after="40" w:line="312" w:lineRule="auto"/>
        <w:jc w:val="both"/>
      </w:pPr>
      <w:r>
        <w:rPr>
          <w:b w:val="0"/>
          <w:i w:val="0"/>
        </w:rPr>
        <w:t>2. Documento de identidade (CIN) e CPF;</w:t>
      </w:r>
    </w:p>
    <w:p>
      <w:pPr>
        <w:spacing w:after="40" w:line="312" w:lineRule="auto"/>
        <w:jc w:val="both"/>
      </w:pPr>
      <w:r>
        <w:rPr>
          <w:b w:val="0"/>
          <w:i w:val="0"/>
        </w:rPr>
        <w:t>3. Comprovante de residência (conta EMASA, ref. 10/2026);</w:t>
      </w:r>
    </w:p>
    <w:p>
      <w:pPr>
        <w:spacing w:after="40" w:line="312" w:lineRule="auto"/>
        <w:jc w:val="both"/>
      </w:pPr>
      <w:r>
        <w:rPr>
          <w:b w:val="0"/>
          <w:i w:val="0"/>
        </w:rPr>
        <w:t>4. Telas do aplicativo da Ré (contrato n.º 4679034581, atualizadas em 03/10/2026) — 2 arquivos;</w:t>
      </w:r>
    </w:p>
    <w:p>
      <w:pPr>
        <w:spacing w:after="40" w:line="312" w:lineRule="auto"/>
        <w:jc w:val="both"/>
      </w:pPr>
      <w:r>
        <w:rPr>
          <w:b w:val="0"/>
          <w:i w:val="0"/>
        </w:rPr>
        <w:t xml:space="preserve">5. Contracheques/holerites e extrato do aplicativo comprovando os descontos de jun a ago/2026 </w:t>
      </w:r>
      <w:r>
        <w:rPr>
          <w:b w:val="0"/>
          <w:i w:val="0"/>
          <w:highlight w:val="yellow"/>
        </w:rPr>
        <w:t>[PREENCHER: juntar]</w:t>
      </w:r>
      <w:r>
        <w:rPr>
          <w:b w:val="0"/>
          <w:i w:val="0"/>
        </w:rPr>
        <w:t>;</w:t>
      </w:r>
    </w:p>
    <w:p>
      <w:pPr>
        <w:spacing w:after="40" w:line="312" w:lineRule="auto"/>
        <w:jc w:val="both"/>
      </w:pPr>
      <w:r>
        <w:rPr>
          <w:b w:val="0"/>
          <w:i w:val="0"/>
        </w:rPr>
        <w:t>6. Memória de Cálculo (Doc.) e laudo de cálculo revisional;</w:t>
      </w:r>
    </w:p>
    <w:p>
      <w:pPr>
        <w:spacing w:after="40" w:line="312" w:lineRule="auto"/>
        <w:jc w:val="both"/>
      </w:pPr>
      <w:r>
        <w:rPr>
          <w:b w:val="0"/>
          <w:i w:val="0"/>
        </w:rPr>
        <w:t>7. Consulta à taxa média divulgada pelo BACEN (maio/2026).</w:t>
      </w:r>
    </w:p>
    <w:p>
      <w:pPr>
        <w:spacing w:after="160" w:line="312" w:lineRule="auto"/>
        <w:ind w:firstLine="850"/>
        <w:jc w:val="both"/>
      </w:pPr>
    </w:p>
    <w:p>
      <w:pPr>
        <w:spacing w:after="160" w:line="312" w:lineRule="auto"/>
        <w:jc w:val="left"/>
      </w:pPr>
      <w:r>
        <w:rPr>
          <w:b w:val="0"/>
          <w:i w:val="0"/>
        </w:rPr>
        <w:t>Nestes termos,</w:t>
      </w:r>
    </w:p>
    <w:p>
      <w:pPr>
        <w:spacing w:after="160" w:line="312" w:lineRule="auto"/>
        <w:jc w:val="left"/>
      </w:pPr>
      <w:r>
        <w:rPr>
          <w:b w:val="0"/>
          <w:i w:val="0"/>
        </w:rPr>
        <w:t>Pede deferimento.</w:t>
      </w:r>
    </w:p>
    <w:p>
      <w:pPr>
        <w:spacing w:after="160" w:line="312" w:lineRule="auto"/>
        <w:jc w:val="left"/>
      </w:pPr>
      <w:r>
        <w:rPr>
          <w:b w:val="0"/>
          <w:i w:val="0"/>
        </w:rPr>
        <w:t>Salvador/BA, 7 de outubro de 2026.</w:t>
      </w:r>
    </w:p>
    <w:p>
      <w:pPr>
        <w:spacing w:after="160" w:line="312" w:lineRule="auto"/>
        <w:ind w:firstLine="850"/>
        <w:jc w:val="both"/>
      </w:pPr>
    </w:p>
    <w:p>
      <w:pPr>
        <w:spacing w:after="0" w:line="312" w:lineRule="auto"/>
        <w:jc w:val="center"/>
      </w:pPr>
      <w:r>
        <w:rPr>
          <w:b w:val="0"/>
          <w:i w:val="0"/>
        </w:rPr>
        <w:t>______________________________________</w:t>
      </w:r>
    </w:p>
    <w:p>
      <w:pPr>
        <w:spacing w:after="160" w:line="312" w:lineRule="auto"/>
        <w:jc w:val="center"/>
      </w:pPr>
      <w:r>
        <w:rPr>
          <w:b/>
          <w:i w:val="0"/>
        </w:rPr>
        <w:t>CLEYTON DA SILVA BARBOSA - OAB/BA 92.148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