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left"/>
      </w:pPr>
      <w:r>
        <w:rPr>
          <w:b/>
          <w:i w:val="0"/>
        </w:rPr>
        <w:t xml:space="preserve">EXCELENTÍSSIMO(A) SENHOR(A) DOUTOR(A) JUIZ(A) DE DIREITO DA </w:t>
      </w:r>
      <w:r>
        <w:rPr>
          <w:b/>
          <w:i w:val="0"/>
          <w:highlight w:val="yellow"/>
        </w:rPr>
        <w:t>[___]</w:t>
      </w:r>
      <w:r>
        <w:rPr>
          <w:b/>
          <w:i w:val="0"/>
        </w:rPr>
        <w:t>ª VARA CÍVEL DA COMARCA DE SALVADOR/BA</w:t>
      </w:r>
    </w:p>
    <w:p>
      <w:pPr>
        <w:spacing w:after="120" w:line="360" w:lineRule="auto"/>
        <w:ind w:firstLine="709"/>
        <w:jc w:val="both"/>
      </w:pPr>
    </w:p>
    <w:p>
      <w:pPr>
        <w:spacing w:after="120" w:line="360" w:lineRule="auto"/>
        <w:jc w:val="both"/>
      </w:pPr>
      <w:r>
        <w:rPr>
          <w:b w:val="0"/>
          <w:i w:val="0"/>
        </w:rPr>
        <w:t>EMENTA: DIREITO DO CONSUMIDOR E DIREITO BANCÁRIO. AÇÃO REVISIONAL INSTRUÍDA COM O PRÓPRIO INSTRUMENTO CONTRATUAL — PROVA PRÉ-CONSTITUÍDA. EMPRÉSTIMO PESSOAL DE R$ 1.000,00 LÍQUIDOS (R$ 1.014,75 FINANCIADOS) A SER DEVOLVIDO COMO R$ 3.143,04 (12 PARCELAS DE R$ 261,92): A CONSUMIDORA RESTITUI 3,14 VEZES O VALOR RECEBIDO. TAXA PACTUADA DE 23,00% a.m. (1.099,16% a.a.) EM CONFRONTO COM A MÉDIA DE MERCADO DE 5,37% a.m. (87,33% a.a.) — JUNHO/2022, BANCO CENTRAL DO BRASIL. TAXA 4,28 VEZES SUPERIOR AO REFERENCIAL OFICIAL E 2,86 VEZES SUPERIOR À RÉGUA DE UMA VEZ E MEIA A MÉDIA. NULIDADE DE CLÁUSULAS DO CONTRATO DE ADESÃO (ART. 51, IV E §1.º, III, CDC). CAPITALIZAÇÃO MENSAL INSERIDA NO CORPO DO TEXTO, SEM INFORMAÇÃO ADEQUADA. CONTRATO INTEGRALMENTE VENCIDO: REPETIÇÃO DE INDÉBITO EM DOBRO INDEPENDENTEMENTE DE MÁ-FÉ (EAREsp 676.608/RS, CORTE ESPECIAL). DISTINGUISHING FRENTE AO TEMA 1378/STJ. DANO MORAL. PROCEDÊNCIA.</w:t>
      </w:r>
    </w:p>
    <w:p>
      <w:pPr>
        <w:spacing w:after="120" w:line="360" w:lineRule="auto"/>
        <w:jc w:val="both"/>
      </w:pPr>
      <w:r>
        <w:rPr>
          <w:b w:val="0"/>
          <w:i/>
        </w:rPr>
        <w:t>Consulta pública da taxa média de juros — Banco Central do Brasil: www3.bcb.gov.br/sgspub/</w:t>
      </w:r>
    </w:p>
    <w:p>
      <w:pPr>
        <w:spacing w:after="120" w:line="360" w:lineRule="auto"/>
        <w:ind w:firstLine="709"/>
        <w:jc w:val="both"/>
      </w:pPr>
      <w:r>
        <w:rPr>
          <w:b/>
          <w:i w:val="0"/>
        </w:rPr>
        <w:t>SHEILA CRISTINA BARRETO VIEIRA</w:t>
      </w:r>
      <w:r>
        <w:rPr>
          <w:b w:val="0"/>
          <w:i w:val="0"/>
        </w:rPr>
        <w:t>, brasileira, viúva, pensionista, portadora do RG n.º 08.739.711-08, inscrita no CPF sob o n.º 780.416.355-04, sem endereço eletrônico, residente e domiciliada na 2ª Travessa da 2 de Julho, n.º 11, Fazenda Grande do Retiro, CEP 40350-143, Salvador/BA, vem, respeitosamente, por seu advogado infra-assinado (procuração anexa), à presença de Vossa Excelência, propor a presente</w:t>
      </w:r>
    </w:p>
    <w:p>
      <w:pPr>
        <w:spacing w:after="120" w:line="360" w:lineRule="auto"/>
        <w:jc w:val="center"/>
      </w:pPr>
      <w:r>
        <w:rPr>
          <w:b/>
          <w:i w:val="0"/>
        </w:rPr>
        <w:t>AÇÃO REVISIONAL DE CONTRATO BANCÁRIO C/C DECLARAÇÃO DE NULIDADE DE CLÁUSULAS ABUSIVAS, REPETIÇÃO DE INDÉBITO EM DOBRO E INDENIZAÇÃO POR DANOS MORAIS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em face de </w:t>
      </w:r>
      <w:r>
        <w:rPr>
          <w:b/>
          <w:i w:val="0"/>
        </w:rPr>
        <w:t>BANCO DAYCOVAL S.A.</w:t>
      </w:r>
      <w:r>
        <w:rPr>
          <w:b w:val="0"/>
          <w:i w:val="0"/>
        </w:rPr>
        <w:t>, pessoa jurídica de direito privado, inscrita no CNPJ sob o n.º 62.232.889/0001-90, com sede na Avenida Paulista, n.º 1.793, Bela Vista, São Paulo/SP, CEP 01311-200, e-mail para intimações desconhecido, pelos fundamentos que passa a expor:</w:t>
      </w:r>
    </w:p>
    <w:p>
      <w:pPr>
        <w:spacing w:after="160" w:line="360" w:lineRule="auto"/>
        <w:jc w:val="left"/>
      </w:pPr>
      <w:r>
        <w:rPr>
          <w:b/>
          <w:i w:val="0"/>
        </w:rPr>
        <w:t>CAPÍTULO 1 — PRELIMINARES</w:t>
      </w:r>
    </w:p>
    <w:p>
      <w:pPr>
        <w:spacing w:after="160" w:line="360" w:lineRule="auto"/>
        <w:jc w:val="left"/>
      </w:pPr>
      <w:r>
        <w:rPr>
          <w:b/>
          <w:i w:val="0"/>
        </w:rPr>
        <w:t>1.1. Da gratuidade da justiça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parte Autora é pensionista do INSS e declara, nos termos da declaração de hipossuficiência anexa, não ter condições de arcar com as custas e despesas do processo sem prejuízo do próprio sustento. Tomou, em 2022, empréstimo de apenas R$ 1.000,00 — valor que, por si só, revela a condição de vulnerabilidade econômica de quem precisa recorrer a crédito de quantia tão modesta, a taxa superior a 1.000% ao ano. Requer-se a concessão do benefício (arts. 98 e 99 do CPC; art. 5.º, LXXIV, CF/88).</w:t>
      </w:r>
    </w:p>
    <w:p>
      <w:pPr>
        <w:spacing w:after="160" w:line="360" w:lineRule="auto"/>
        <w:jc w:val="left"/>
      </w:pPr>
      <w:r>
        <w:rPr>
          <w:b/>
          <w:i w:val="0"/>
        </w:rPr>
        <w:t>1.2. Do desinteresse na audiência de conciliação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Manifesta-se expresso desinteresse na audiência do art. 334 do CPC (§5.º). A prática forense demonstra que, nestas demandas, o ato conciliatório converteu-se em etapa protocolar sem conteúdo compositivo real, servindo apenas ao alongamento do procedimento. A dispensa prestigia a razoável duração do processo (art. 5.º, LXXVIII, CF/88).</w:t>
      </w:r>
    </w:p>
    <w:p>
      <w:pPr>
        <w:spacing w:after="160" w:line="360" w:lineRule="auto"/>
        <w:jc w:val="left"/>
      </w:pPr>
      <w:r>
        <w:rPr>
          <w:b/>
          <w:i w:val="0"/>
        </w:rPr>
        <w:t>1.3. Do julgamento antecipado do mérito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Esta demanda nasce com um trunfo probatório raro no contencioso revisional: o próprio instrumento contratual está nos autos, ao lado da série histórica oficial do Banco Central. Taxa pactuada e taxa de mercado são, ambas, fatos documentais; o que resta é operação aritmética e qualificação jurídica. A causa está madura desde a distribuição — requer-se o julgamento antecipado (art. 355, I, CPC).</w:t>
      </w:r>
    </w:p>
    <w:p>
      <w:pPr>
        <w:spacing w:after="160" w:line="360" w:lineRule="auto"/>
        <w:jc w:val="left"/>
      </w:pPr>
      <w:r>
        <w:rPr>
          <w:b/>
          <w:i w:val="0"/>
        </w:rPr>
        <w:t>1.4. Do foro e da inexistência de outra demanda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cláusula 18 da Cédula de Crédito Bancário elege o foro da Comarca de São Paulo/SP como "único competente". Trata-se de cláusula inserida em contrato de adesão, que dificulta a defesa do consumidor em juízo e é nula de pleno direito (art. 51, IV, CDC), devendo a demanda ser processada no foro do domicílio da consumidora, nos termos do art. 101, I, do CDC, e do art. 63, §3.º, do CPC.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A parte Autora declara que não tem conhecimento de outra ação, em curso ou já julgada, envolvendo a Cédula de Crédito Bancário n.º 190728. </w:t>
      </w:r>
      <w:r>
        <w:rPr>
          <w:b/>
          <w:i w:val="0"/>
          <w:highlight w:val="yellow"/>
        </w:rPr>
        <w:t>[CONFIRMAR ANTES DO PROTOCOLO: o instrumento contratual juntado traz carimbo de assinatura eletrônica com validação no sítio do PROJUDI-TJBA, o que indica possível existência de processo anterior; conferir litispendência/coisa julgada e, se houver, ajustar ou suprimir este parágrafo]</w:t>
      </w:r>
    </w:p>
    <w:p>
      <w:pPr>
        <w:spacing w:after="160" w:line="360" w:lineRule="auto"/>
        <w:jc w:val="left"/>
      </w:pPr>
      <w:r>
        <w:rPr>
          <w:b/>
          <w:i w:val="0"/>
        </w:rPr>
        <w:t>CAPÍTULO 2 — DOS FATOS</w:t>
      </w:r>
    </w:p>
    <w:p>
      <w:pPr>
        <w:spacing w:after="160" w:line="360" w:lineRule="auto"/>
        <w:jc w:val="left"/>
      </w:pPr>
      <w:r>
        <w:rPr>
          <w:b/>
          <w:i w:val="0"/>
        </w:rPr>
        <w:t>2.1. Do contrato e de sua matemática confiscatória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Em 28 de junho de 2022, a parte Autora celebrou com a Ré, por meio eletrônico, a Cédula de Crédito Bancário (Crédito em Conta) n.º 190728, versão 04, recebendo R$ 1.000,00 líquidos (valor total financiado de R$ 1.014,75, já incluído o IOF de R$ 14,75), a ser pago em 12 (doze) parcelas mensais de R$ 261,92, com primeira parcela em 29/07/2022, última em 30/06/2023, e taxa de juros prefixada de 23,00% ao mês (1.099,16% ao ano), com débito em conta no Banco Bradesco (agência 3654, conta 0022683-1) — instrumento anexo. A aritmética do contrato, exposta em quadro, dispensa adjetivos: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ELEMENTO DO CONTRATO</w:t>
            </w:r>
          </w:p>
        </w:tc>
        <w:tc>
          <w:tcPr>
            <w:tcW w:type="dxa" w:w="4419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VALOR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líquido liberado à consumidora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R$ 1.000,00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total financiado (principal + IOF)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R$ 1.014,75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Juros embutidos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R$ 2.128,29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 a devolver (12 × R$ 261,92)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R$ 3.143,04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Multiplicador sobre o capital líquido recebido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3,14 vezes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pactuada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23,00% a.m. — 1.099,16% a.a.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Custo Efetivo Total (CET)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23,42% a.m. — 1.193,17% a.a.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Registre-se, ainda, que a taxa efetiva implícita no fluxo contratado (valor financiado de R$ 1.014,75, 12 prestações de R$ 261,92) alcança 23,82% ao mês, superior à própria taxa declarada no instrumento — o que reforça a tese de que o custo real da operação supera o que foi informado à consumidora.</w:t>
      </w:r>
    </w:p>
    <w:p>
      <w:pPr>
        <w:spacing w:after="160" w:line="360" w:lineRule="auto"/>
        <w:jc w:val="left"/>
      </w:pPr>
      <w:r>
        <w:rPr>
          <w:b/>
          <w:i w:val="0"/>
        </w:rPr>
        <w:t>2.2. Do confronto com a taxa média do Banco Central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No mês da contratação — junho de 2022 —, a taxa média de mercado divulgada pelo Banco Central do Brasil para a modalidade (crédito pessoal não consignado, pessoa física) era de 5,37% ao mês (87,33% ao ano). O confronto: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PARÂMETRO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CONTRATO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MERCADO (BACEN — JUN/2022)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mensal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23,00% a.m.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5,37%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anual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1.099,16% a.a.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87,33% a.a.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Prestação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 do contrato (12 parcelas)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R$ 3.143,04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R$ 1.402,68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Proporção sobre a média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4,28 vezes (328,31% acima)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1,00 (referencial)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Excesso mensal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Excesso global (nominal)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R$ 1.740,36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Recalculado o contrato pela taxa média, pelo Sistema Francês de Amortização, mantidos o principal financiado (R$ 1.014,75) e o prazo (12 meses), a prestação seria de R$ 116,89 e o valor total devido seria de R$ 1.402,68 — e não R$ 3.143,04. O excesso contratual global, em valores nominais, alcança R$ 1.740,36 (mil, setecentos e quarenta reais e trinta e seis centavos); corrigido monetariamente pelo IPCA desde cada pagamento, o prejuízo material simples alcança R$ 2.045,84, conforme Memória de Cálculo anexa (Doc.).</w:t>
      </w:r>
    </w:p>
    <w:p>
      <w:pPr>
        <w:spacing w:after="160" w:line="360" w:lineRule="auto"/>
        <w:jc w:val="left"/>
      </w:pPr>
      <w:r>
        <w:rPr>
          <w:b/>
          <w:i w:val="0"/>
        </w:rPr>
        <w:t>2.3. Do adimplemento e da inexistência de parcelas vincendas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Todas as 12 parcelas já venceram (a última em 30/06/2023). A Memória de Cálculo parte da premissa de que as parcelas foram pagas integralmente, por débito na conta da parte Autora no Banco Bradesco, nas datas contratadas. </w:t>
      </w:r>
      <w:r>
        <w:rPr>
          <w:b/>
          <w:i w:val="0"/>
          <w:highlight w:val="yellow"/>
        </w:rPr>
        <w:t>[A CONFIRMAR: juntar extratos da conta Bradesco ag. 3654, c/c 0022683-1, de jul/2022 a jul/2023, comprovando os débitos; havendo atraso, pagamento parcial ou quitação antecipada, o indébito deverá ser recalculado]</w:t>
      </w:r>
      <w:r>
        <w:rPr>
          <w:b w:val="0"/>
          <w:i w:val="0"/>
        </w:rPr>
        <w:t>. Por se tratar de contrato integralmente vencido, a presente ação tem por objeto a revisão das cláusulas abusivas e a repetição do indébito, não havendo parcelas vincendas a limitar.</w:t>
      </w:r>
    </w:p>
    <w:p>
      <w:pPr>
        <w:spacing w:after="160" w:line="360" w:lineRule="auto"/>
        <w:jc w:val="left"/>
      </w:pPr>
      <w:r>
        <w:rPr>
          <w:b/>
          <w:i w:val="0"/>
        </w:rPr>
        <w:t>CAPÍTULO 3 — DA ANÁLISE DO INSTRUMENTO CONTRATUAL</w:t>
      </w:r>
    </w:p>
    <w:p>
      <w:pPr>
        <w:spacing w:after="160" w:line="360" w:lineRule="auto"/>
        <w:jc w:val="left"/>
      </w:pPr>
      <w:r>
        <w:rPr>
          <w:b/>
          <w:i w:val="0"/>
        </w:rPr>
        <w:t>3.1. Do contrato de adesão e da ausência de consentimento qualificado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instrumento anexo é contrato de adesão (art. 54, CDC): formulário eletrônico padronizado, redigido unilateralmente, sem campo de negociação, apresentado à consumidora na lógica binária do "pegar ou largar". A doutrina consumerista — Cláudia Lima Marques à frente — há muito advertiu que, nesses instrumentos, a "vontade" do aderente reduz-se ao ato de assinar: ele não forma o conteúdo do contrato, apenas se submete a ele. Por isso mesmo, o legislador deslocou o eixo de proteção: já que o consentimento não protege o aderente, protege-o o controle judicial do conteúdo — e é exatamente esse controle que ora se requer. No caso, a contratação se deu a distância, por aceite eletrônico e biometria facial, com intermediação de vendedora, sem que conste do instrumento qualquer marcador de renda da consumidora.</w:t>
      </w:r>
    </w:p>
    <w:p>
      <w:pPr>
        <w:spacing w:after="160" w:line="360" w:lineRule="auto"/>
        <w:jc w:val="left"/>
      </w:pPr>
      <w:r>
        <w:rPr>
          <w:b/>
          <w:i w:val="0"/>
        </w:rPr>
        <w:t>3.2. Das cláusulas nulas de pleno direito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art. 51 do CDC comina de nulidade absoluta as cláusulas que estabeleçam obrigações iníquas e abusivas, colocando o consumidor em desvantagem exagerada (inciso IV), presumindo-se exagerada a vantagem excessivamente onerosa considerando a natureza e o conteúdo do contrato (§1.º, III). A cláusula do item III do instrumento — que fixa os encargos remuneratórios em 23,00% ao mês, mais de quatro vezes a média de mercado — incide frontalmente em ambas as previsões. E porque a nulidade é de pleno direito, ela não se convalida pela assinatura, não se sana pelo pagamento das parcelas e não se consolida pelo decurso do tempo: o juiz a pronuncia com efeitos ex tunc, recompondo-se o contrato desde a origem.</w:t>
      </w:r>
    </w:p>
    <w:p>
      <w:pPr>
        <w:spacing w:after="160" w:line="360" w:lineRule="auto"/>
        <w:jc w:val="left"/>
      </w:pPr>
      <w:r>
        <w:rPr>
          <w:b/>
          <w:i w:val="0"/>
        </w:rPr>
        <w:t>3.3. Da violação do dever de informação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microssistema consumerista construiu, em camadas sucessivas, um regime de informação qualificada para o crédito: o art. 6.º, III, assegura a informação adequada e clara como direito básico; o art. 31 exige que a oferta seja correta, precisa e ostensiva; o art. 52 impõe, especificamente no fornecimento de crédito, a informação prévia sobre montante de juros, acréscimos, número e periodicidade das prestações e o total a pagar; e o art. 46 comina a sanção: cláusula cujo sentido e alcance o consumidor não pôde compreender não o obriga.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Pergunte-se, então: em que momento a Ré informou à consumidora — em linguagem que uma pessoa leiga compreenda — que devolveria mais que o triplo do valor recebido? Em que momento lhe disse que a taxa embutida superava em mais de quatro vezes a média que o próprio mercado praticava naquele mês? Percentuais impressos em formulário de adesão são tecnicamente verdadeiros e substancialmente mudos: informam o que dizem, ocultam o que significam. O Direito do Consumidor julga a informação pela compreensão que ela efetivamente gera no destinatário concreto — e, por esse critério, a consumidora jamais foi informada.</w:t>
      </w:r>
    </w:p>
    <w:p>
      <w:pPr>
        <w:spacing w:after="160" w:line="360" w:lineRule="auto"/>
        <w:jc w:val="left"/>
      </w:pPr>
      <w:r>
        <w:rPr>
          <w:b/>
          <w:i w:val="0"/>
        </w:rPr>
        <w:t>3.4. Da capitalização mensal de juros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divergência entre a taxa mensal pactuada (23,00%) e a taxa anual declarada (1.099,16% — quando o duodécuplo de 23,00% seria 276,00%) revela, com precisão matemática, a prática de capitalização composta mensal. A cláusula 1.3 do instrumento prevê que os juros serão "capitalizados mensalmente", e a Súmula 541/STJ admite a cobrança da taxa efetiva anual quando prevista em patamar superior ao duodécuplo da mensal. Não se ignora, portanto, a existência de previsão contratual. Ocorre que a admissão pressupõe pactuação válida, e pactuação válida, em ambiente de consumo, é pactuação informada (CDC, arts. 6.º, III, 46 e 52): destacada, clara, apta a fazer o aderente compreender que pagará juros sobre juros. Cláusula inserida em meio a texto corrido de contrato eletrônico de adesão, sem destaque, e cujo efeito prático — uma taxa anual quatro vezes e meia superior ao duodécuplo da mensal — só um financista decifra, não pactua: dissimula. Subsidiariamente, ainda que se reconheça a validade formal da capitalização, ela não pode operar em taxa superior à média de mercado, impondo-se o recálculo nos termos do pedido, vedada a capitalização em taxa superior à média.</w:t>
      </w:r>
    </w:p>
    <w:p>
      <w:pPr>
        <w:spacing w:after="160" w:line="360" w:lineRule="auto"/>
        <w:jc w:val="left"/>
      </w:pPr>
      <w:r>
        <w:rPr>
          <w:b/>
          <w:i w:val="0"/>
        </w:rPr>
        <w:t>CAPÍTULO 4 — DO DIREITO</w:t>
      </w:r>
    </w:p>
    <w:p>
      <w:pPr>
        <w:spacing w:after="160" w:line="360" w:lineRule="auto"/>
        <w:jc w:val="left"/>
      </w:pPr>
      <w:r>
        <w:rPr>
          <w:b/>
          <w:i w:val="0"/>
        </w:rPr>
        <w:t>4.1. Da aplicação do CDC e da tutela da confiança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aplicabilidade do Código de Defesa do Consumidor às instituições financeiras está duplamente sedimentada — pela Súmula 297/STJ e pelo julgamento da ADI 2.591 pelo Supremo Tribunal Federal, que reconheceu nas operações bancárias a natureza de serviço do art. 3.º, §2.º, do CDC. Incidem, pois, a vulnerabilidade presumida (art. 4.º, I), o direito básico à modificação de cláusulas que estabeleçam prestações desproporcionais (art. 6.º, V), a vedação à vantagem manifestamente excessiva (art. 39, V), a nulidade das cláusulas abusivas (art. 51) e a responsabilidade objetiva (art. 14). Sobre esse alicerce ergue-se o princípio da confiança: quem oferta crédito no mercado de consumo responde pela legítima expectativa que desperta — a de contratar em condições minimamente alinhadas ao padrão do próprio mercado. A Ré traiu essa expectativa na proporção de mais de quatro para um.</w:t>
      </w:r>
    </w:p>
    <w:p>
      <w:pPr>
        <w:spacing w:after="160" w:line="360" w:lineRule="auto"/>
        <w:jc w:val="left"/>
      </w:pPr>
      <w:r>
        <w:rPr>
          <w:b/>
          <w:i w:val="0"/>
        </w:rPr>
        <w:t>4.2. Da relativização do pacta sunt servanda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defesa invocará, como sempre, a santidade dos pactos. Convém restituir ao brocardo sua verdadeira dimensão histórica e dogmática. O pacta sunt servanda nasceu para proteger a palavra dada entre iguais — mercadores que negociavam cláusula a cláusula, em posição de paridade. Transplantá-lo, sem mediações, para o contrato de adesão massificado é cometer anacronismo interessado: invocar a filosofia da igualdade para consagrar o resultado da desigualdade. O Código Civil de 2002 já operou a correção sistêmica: a liberdade de contratar exerce-se nos limites da função social do contrato (art. 421) e sob o império da boa-fé objetiva (art. 422). E o CDC foi além, conferindo ao consumidor o direito potestativo à modificação das cláusulas desproporcionais (art. 6.º, V) — direito que independe de imprevisão, bastando a desproporção.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Não há vontade livre onde há necessidade capturada; não há força obrigatória onde há iniquidade documentada. O contrato que multiplica por mais de quatro a taxa média de mercado não expressa autonomia da vontade: expressa a rendição da necessidade de uma consumidora de baixa renda ao poder de quem detinha, sozinho, a caneta que redigiu todas as cláusulas.</w:t>
      </w:r>
    </w:p>
    <w:p>
      <w:pPr>
        <w:spacing w:after="160" w:line="360" w:lineRule="auto"/>
        <w:jc w:val="left"/>
      </w:pPr>
      <w:r>
        <w:rPr>
          <w:b/>
          <w:i w:val="0"/>
        </w:rPr>
        <w:t>4.3. Da abusividade dos juros — o sistema de controle construído pelo STJ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regime jurídico dos juros bancários no Brasil é frequentemente mal compreendido — e as defesas bancárias exploram essa má compreensão. É verdade que as instituições financeiras não se sujeitam à limitação da Lei de Usura (Súmula 596/STF) e que a taxa superior a 12% ao ano não é, por si, abusiva (Súmula 382/STJ). Mas dessas premissas não decorre a conclusão que a Ré desejará extrair — a de que suas taxas são judicialmente incontroláveis. Decorre o oposto: precisamente porque não há teto legal, o controle é judicial e casuístico, e o seu instrumento de medida foi definido pela Segunda Seção do STJ no REsp 1.061.530/RS (Rel. Min. Nancy Andrighi, recursos repetitivos): a revisão é cabível quando cabalmente demonstrada a abusividade que coloca o consumidor em desvantagem exagerada, aferida em confronto com a taxa média de mercado divulgada pelo Banco Central.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jurisprudência subsequente consolidou a régua operacional do sistema — a presunção de abusividade quando a taxa supera uma vez e meia a média de mercado:</w:t>
      </w:r>
    </w:p>
    <w:p>
      <w:pPr>
        <w:spacing w:after="120" w:line="240" w:lineRule="auto"/>
        <w:ind w:left="2268"/>
        <w:jc w:val="both"/>
      </w:pPr>
      <w:r>
        <w:rPr>
          <w:b w:val="0"/>
          <w:i/>
        </w:rPr>
        <w:t>"EMENTA: APELAÇÃO CÍVEL — AÇÃO REVISIONAL — CONTRATOS DE EMPRÉSTIMO — [...] Embora não haja a limitação dos juros para instituições financeiras, não pode sua taxa ser totalmente liberada, sem nenhum controle efetivo, permitindo-se a limitação dos juros remuneratórios quando superarem uma vez e meia a taxa média de mercado fornecida pelo Banco Central." (TJMG, Apelação Cível 1.0024.07.494175-8/002, 10.ª Câmara Cível, Rel. Des. Maurício Pinto Ferreira, j. 18/12/2018)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Uma vez e meia a média de junho/2022 seria 8,0550% a.m. A Ré pactuou 23,00% a.m. — 2,86 vezes a própria régua de presunção. Não flertou com a fronteira da abusividade: pulverizou-a, praticando 4,28 vezes o referencial. Se o parâmetro de uma vez e meia gera presunção de abusividade, mais de quatro vezes gera certeza dela.</w:t>
      </w:r>
    </w:p>
    <w:p>
      <w:pPr>
        <w:spacing w:after="160" w:line="360" w:lineRule="auto"/>
        <w:jc w:val="left"/>
      </w:pPr>
      <w:r>
        <w:rPr>
          <w:b/>
          <w:i w:val="0"/>
        </w:rPr>
        <w:t>4.4. Da ausência de risco que justifique o spread — refutação antecipada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Antecipe-se a defesa de estilo: "a taxa remunera o risco". O argumento pressupõe um risco extraordinário que o sustente — e aqui ele não se verifica. A operação foi lastreada em autorização de débito em conta bancária da consumidora, com poderes à Ré para promover débitos inclusive sobre o limite de crédito da conta e por lançamentos parciais, por prazo indeterminado (item V e cláusula 2 do instrumento), e com autorização de utilização de quaisquer créditos, saldos ou aplicações da emitente para amortização do débito (cláusula 6, ii): ou seja, mecanismos de recuperação que reduzem sensivelmente o risco do crédito. A taxa média do BACEN — 5,37% a.m. — já embute o risco médio das operações da espécie, inclusive as concedidas sem qualquer garantia. Cobrar mais de quatro vezes essa média é precificar um risco imaginário — e lucro extraído de risco imaginário tem nome no CDC: vantagem manifestamente excessiva (art. 39, V).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Acrescente-se o ônus da prova: os dados de captação, inadimplência de carteira e composição de spread pertencem exclusivamente à Ré. Se pretende justificar a taxa, que abra os números.</w:t>
      </w:r>
    </w:p>
    <w:p>
      <w:pPr>
        <w:spacing w:after="160" w:line="360" w:lineRule="auto"/>
        <w:jc w:val="left"/>
      </w:pPr>
      <w:r>
        <w:rPr>
          <w:b/>
          <w:i w:val="0"/>
        </w:rPr>
        <w:t>4.5. Do distinguishing frente ao Tema 1378/STJ — por que esta causa independe do repetitivo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Registre-se, por lealdade processual, que a Segunda Seção do STJ afetou ao rito dos repetitivos o Tema 1378 (Rel. Min. Antonio Carlos Ferreira; paradigmas REsp 2.227.276/AL, 2.227.844/RS, 2.227.280/PR e 2.227.287/MG), para definir se a taxa média do BACEN basta como fundamento exclusivo da aferição de abusividade dos juros remuneratórios, e a admissibilidade de recursos especiais para rediscutir conclusões fáticas sobre a matéria. Antecipar o tema não fragiliza esta causa — demonstra que ela sobrevive a qualquer desfecho do repetitivo.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Quanto ao processamento: a suspensão determinada na afetação alcança recursos especiais e agravos em recurso especial (art. 1.037, II, CPC) — não paralisa o primeiro grau. Eventual pedido de sobrestamento pela Ré deve ser indeferido de plano.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Quanto ao mérito, o distinguishing é triplo. Primeiro: esta inicial não usa a taxa média como fundamento exclusivo — usa-a como referencial (função que o Tema 27 lhe atribuiu), demonstrando a desvantagem exagerada pelo conjunto das circunstâncias concretas: consumidora pensionista, de baixa renda; devolução de 3,14 vezes o capital recebido; taxa anual de 1.099,16%; custo efetivo real (23,82% a.m.) superior ao declarado; contrato de adesão eletrônico sem informação qualificada. Segundo: a zona de incerteza que motivou a afetação é a das taxas moderadamente acima da média — o debate sobre excessos de 50%, sobre a régua de uma vez e meia. Aqui a taxa é 4,28 vezes a média de mercado e 2,86 vezes a própria régua de presunção: nenhuma tese concebível legitimará tal patamar. Terceiro: quanto mais "peculiaridades da contratação" o STJ exigir, mais forte esta causa fica — porque as peculiaridades estão documentadas nos autos, e todas contra a fornecedora.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Em síntese: fixada a tese que for, o desfecho desta demanda não se altera. A peça foi construída sobre o cenário mais rigoroso — e é nele que pede julgamento.</w:t>
      </w:r>
    </w:p>
    <w:p>
      <w:pPr>
        <w:spacing w:after="160" w:line="360" w:lineRule="auto"/>
        <w:jc w:val="left"/>
      </w:pPr>
      <w:r>
        <w:rPr>
          <w:b/>
          <w:i w:val="0"/>
        </w:rPr>
        <w:t>4.6. Da vulnerabilidade da consumidora e da conservação do contrato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Embora o instrumento não traga marcador expresso de renda, o valor modesto do crédito tomado (R$ 1.000,00), a taxa de 1.099,16% ao ano e a condição de pensionista da parte Autora evidenciam a vulnerabilidade técnica e econômica que atrai o art. 39, IV, do CDC (prevalecer-se da fraqueza ou ignorância do consumidor, tendo em vista sua condição econômica). Frise-se o que se pede e o que não se pede: não se pretende calote nem tabelamento. Pretende-se que a Ré receba exatamente o que o mercado receberia — capital corrigido e remunerado pela taxa média oficial. A pretensão conserva o contrato e restaura o equilíbrio; abusiva é a resistência a ela.</w:t>
      </w:r>
    </w:p>
    <w:p>
      <w:pPr>
        <w:spacing w:after="160" w:line="360" w:lineRule="auto"/>
        <w:jc w:val="left"/>
      </w:pPr>
      <w:r>
        <w:rPr>
          <w:b/>
          <w:i w:val="0"/>
        </w:rPr>
        <w:t>4.7. Da inversão do ônus da prova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Ré é titular do monopólio das informações técnicas da operação — planilhas de evolução da dívida, composição de encargos, dados de captação. A verossimilhança das alegações está pré-constituída pelo próprio contrato confrontado com a série do BACEN; a hipossuficiência decorre da natureza da relação. Impõe-se a inversão do ônus da prova (art. 6.º, VIII, CDC), cabendo à Ré demonstrar — se puder — a legitimidade dos encargos praticados.</w:t>
      </w:r>
    </w:p>
    <w:p>
      <w:pPr>
        <w:spacing w:after="160" w:line="360" w:lineRule="auto"/>
        <w:jc w:val="left"/>
      </w:pPr>
      <w:r>
        <w:rPr>
          <w:b/>
          <w:i w:val="0"/>
        </w:rPr>
        <w:t>CAPÍTULO 5 — DOS DANOS</w:t>
      </w:r>
    </w:p>
    <w:p>
      <w:pPr>
        <w:spacing w:after="160" w:line="360" w:lineRule="auto"/>
        <w:jc w:val="left"/>
      </w:pPr>
      <w:r>
        <w:rPr>
          <w:b/>
          <w:i w:val="0"/>
        </w:rPr>
        <w:t>5.1. Da repetição do indébito em dobro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Cada parcela paga carrega R$ 145,03 de excesso sem causa. A restituição deve ser dobrada, na forma do art. 42, parágrafo único, do CDC. E aqui é preciso registrar a evolução jurisprudencial que a defesa tentará ignorar: durante anos, as instituições financeiras escaparam da sanção dobrada abrigando-se na exigência de "má-fé demonstrada". Esse abrigo foi demolido pela Corte Especial do STJ, que fixou tese objetiva:</w:t>
      </w:r>
    </w:p>
    <w:p>
      <w:pPr>
        <w:spacing w:after="120" w:line="240" w:lineRule="auto"/>
        <w:ind w:left="2268"/>
        <w:jc w:val="both"/>
      </w:pPr>
      <w:r>
        <w:rPr>
          <w:b w:val="0"/>
          <w:i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 xml:space="preserve">O critério é a boa-fé objetiva — padrão de conduta, não estado de espírito. Cobrar mais de quatro vezes a taxa média, mediante contrato de adesão eletrônico, é conduta objetivamente contrária à boa-fé, sem que se precise perscrutar a alma de quem a praticou. Requer-se a devolução em dobro de todos os valores pagos acima do recálculo pela taxa média. Conforme a Memória de Cálculo (Doc.), o excesso nominal de R$ 1.740,36, corrigido pelo IPCA desde cada pagamento (Súmula 43/STJ), alcança R$ 2.045,84, que em dobro importa em </w:t>
      </w:r>
      <w:r>
        <w:rPr>
          <w:b/>
          <w:i w:val="0"/>
        </w:rPr>
        <w:t>R$ 4.091,67</w:t>
      </w:r>
      <w:r>
        <w:rPr>
          <w:b w:val="0"/>
          <w:i w:val="0"/>
        </w:rPr>
        <w:t>, apurando-se em liquidação o montante exato das parcelas efetivamente quitadas, com atualização até o efetivo pagamento e juros de mora desde a citação.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Nº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Vencimento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Cobrada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Revisada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Excesso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Fator IPCA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Exc. corrigido</w:t>
            </w:r>
          </w:p>
        </w:tc>
        <w:tc>
          <w:tcPr>
            <w:tcW w:type="dxa" w:w="1105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Dobro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29/07/2022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1,182374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R$ 171,48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R$ 342,96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29/08/2022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1,190469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R$ 172,65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R$ 345,31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29/09/2022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1,194770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R$ 173,28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R$ 346,56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4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29/10/2022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1,198245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R$ 173,78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R$ 347,56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29/11/2022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1,191217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R$ 172,76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R$ 345,52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29/12/2022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1,186353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R$ 172,06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R$ 344,11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29/01/2023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1,179043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R$ 171,00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R$ 341,99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28/02/2023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1,172827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R$ 170,10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R$ 340,19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29/03/2023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1,163057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R$ 168,68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R$ 337,36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10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29/04/2023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1,154858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R$ 167,49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R$ 334,98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11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29/05/2023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1,147856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R$ 166,47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R$ 332,95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30/06/2023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R$ 261,92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R$ 116,89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R$ 145,03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1,145222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R$ 166,09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R$ 332,18</w:t>
            </w:r>
          </w:p>
        </w:tc>
      </w:tr>
      <w:tr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R$ 3.143,04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R$ 1.402,68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R$ 1.740,36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R$ 2.045,84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R$ 4.091,67</w:t>
            </w:r>
          </w:p>
        </w:tc>
      </w:tr>
    </w:tbl>
    <w:p>
      <w:pPr>
        <w:spacing w:after="40"/>
      </w:pPr>
    </w:p>
    <w:p>
      <w:pPr>
        <w:spacing w:after="120" w:line="360" w:lineRule="auto"/>
        <w:jc w:val="both"/>
      </w:pPr>
      <w:r>
        <w:rPr>
          <w:b w:val="0"/>
          <w:i w:val="0"/>
        </w:rPr>
        <w:t xml:space="preserve">O fator de correção corresponde ao IPCA acumulado do mês do vencimento até agosto/2026, último índice divulgado na data de elaboração da Memória de Cálculo (consulta em 07/10/2026), devendo ser atualizado quando do ajuizamento e na liquidação. Os valores partem da premissa de pagamento integral das parcelas, </w:t>
      </w:r>
      <w:r>
        <w:rPr>
          <w:b/>
          <w:i w:val="0"/>
          <w:highlight w:val="yellow"/>
        </w:rPr>
        <w:t>[a confirmar pelos extratos bancários]</w:t>
      </w:r>
      <w:r>
        <w:rPr>
          <w:b w:val="0"/>
          <w:i w:val="0"/>
        </w:rPr>
        <w:t>.</w:t>
      </w:r>
    </w:p>
    <w:p>
      <w:pPr>
        <w:spacing w:after="160" w:line="360" w:lineRule="auto"/>
        <w:jc w:val="left"/>
      </w:pPr>
      <w:r>
        <w:rPr>
          <w:b/>
          <w:i w:val="0"/>
        </w:rPr>
        <w:t>5.2. Do dano moral — as três dimensões de uma mesma lesão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O dano moral desta causa é um só — a lesão à dignidade da consumidora —, mas se manifesta em três dimensões que devem ser apreciadas conjuntamente na fixação do quantum, como faces de uma mesma moeda, e não como pedidos fracionados. A extensão do dano (art. 944 do Código Civil) só se mede quando se enxergam todas.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primeira dimensão é a da exposição ao abuso. Submeter consumidora de baixa renda a contrato que devolve 3,14 vezes o valor recebido, a juros de 1.099,16% ao ano, não é aborrecimento cotidiano — é abuso econômico que o Código de Defesa do Consumidor foi concebido para coibir. A lesão emerge da gravidade objetiva da conduta; quem descobre que devolveu o triplo do que tomou não sofre dissabor: sofre a frustração de quem vê a boa-fé traída.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segunda dimensão é a do tempo subtraído — o desvio produtivo do consumidor, na formulação de Marcos Dessaune acolhida pelo Superior Tribunal de Justiça como aspecto indenizável da lesão extrapatrimonial. A parte Autora foi forçada a consumir tempo de vida em diligências, consultas, reunião de documentos e litígio judicial para desfazer abuso que a Ré criou e do qual lucrou.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A terceira dimensão é a da privação material continuada. O débito mensal de R$ 261,92 — quando o devido seria R$ 116,89 — subtraiu da parte Autora, mês após mês, R$ 145,03 de sua renda de pensionista, em doze meses consecutivos, valor que faria diferença real no orçamento de quem vive de benefício previdenciário.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Do quantum. Adota-se o método bifásico do STJ: o valor básico da jurisprudência para cobranças bancárias abusivas, ajustado, na segunda fase, pelas circunstâncias concretas: a vulnerabilidade da vítima, a taxa superior a quatro vezes a média de mercado e o porte econômico da Ré, para quem indenização simbólica ingressaria na planilha como custo tolerável do abuso. A convergência das três dimensões justifica a fixação da indenização em R$ 10.000,00 (dez mil reais) — patamar que compensa sem enriquecer e adverte sem confiscar.</w:t>
      </w:r>
    </w:p>
    <w:p>
      <w:pPr>
        <w:spacing w:after="160" w:line="360" w:lineRule="auto"/>
        <w:jc w:val="left"/>
      </w:pPr>
      <w:r>
        <w:rPr>
          <w:b/>
          <w:i w:val="0"/>
        </w:rPr>
        <w:t>CAPÍTULO 6 — DOS PEDIDOS</w:t>
      </w:r>
    </w:p>
    <w:p>
      <w:pPr>
        <w:spacing w:after="120" w:line="360" w:lineRule="auto"/>
        <w:jc w:val="both"/>
      </w:pPr>
      <w:r>
        <w:rPr>
          <w:b w:val="0"/>
          <w:i w:val="0"/>
        </w:rPr>
        <w:t>Ante o exposto, requer-se:</w:t>
      </w:r>
    </w:p>
    <w:p>
      <w:pPr>
        <w:spacing w:after="120" w:line="360" w:lineRule="auto"/>
        <w:jc w:val="both"/>
      </w:pPr>
      <w:r>
        <w:rPr>
          <w:b w:val="0"/>
          <w:i w:val="0"/>
        </w:rPr>
        <w:t>a) a concessão da gratuidade da justiça (arts. 98 e 99,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b) a não designação de audiência de conciliação (art. 334, §5.º,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c) a inversão do ônus da prova (art. 6.º, VIII, CDC);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d) a citação da Ré, sob pena de revelia (art. 344,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e) a declaração de nulidade da cláusula de eleição de foro (cláusula 18), com o processamento da demanda no foro do domicílio da consumidora, e das demais cláusulas abusivas do contrato de adesão, notadamente a que fixa a taxa de juros remuneratórios (art. 51, IV e §1.º, III, CDC);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f) a declaração de abusividade da taxa de 23,00% a.m. (1.099,16% a.a.) e a revisão do contrato, readequando-se os encargos à taxa média de mercado divulgada pelo Banco Central do Brasil para a modalidade e o período (5,37% a.m. / 87,33% a.a. — junho/2022), pelo Sistema Francês de Amortização, vedada a capitalização em taxa superior à média, com parcela recalculada em R$ 116,89;</w:t>
      </w:r>
    </w:p>
    <w:p>
      <w:pPr>
        <w:spacing w:after="120" w:line="360" w:lineRule="auto"/>
        <w:jc w:val="both"/>
      </w:pPr>
      <w:r>
        <w:rPr>
          <w:b w:val="0"/>
          <w:i w:val="0"/>
        </w:rPr>
        <w:t>g) a condenação da Ré à repetição em dobro do indébito — todos os valores pagos acima do recálculo —, que, conforme a Memória de Cálculo (Doc.), corresponde a R$ 4.091,67 (dobro de R$ 2.045,84, já corrigido pelo IPCA), a ser apurado em liquidação, com atualização monetária desde cada desembolso e juros de mora desde a citação (art. 42, parágrafo único, CDC; EAREsp 676.608/RS);</w:t>
      </w:r>
    </w:p>
    <w:p>
      <w:pPr>
        <w:spacing w:after="120" w:line="360" w:lineRule="auto"/>
        <w:jc w:val="both"/>
      </w:pPr>
      <w:r>
        <w:rPr>
          <w:b w:val="0"/>
          <w:i w:val="0"/>
        </w:rPr>
        <w:t>h) a condenação da Ré ao pagamento de indenização por dano moral, no valor de R$ 10.000,00 (dez mil reais), considerando-se, na fixação do quantum, todas as dimensões da lesão demonstradas;</w:t>
      </w:r>
    </w:p>
    <w:p>
      <w:pPr>
        <w:spacing w:after="120" w:line="360" w:lineRule="auto"/>
        <w:jc w:val="both"/>
      </w:pPr>
      <w:r>
        <w:rPr>
          <w:b w:val="0"/>
          <w:i w:val="0"/>
        </w:rPr>
        <w:t>i) custas e honorários advocatícios de 20% sobre a condenação (art. 85, §2.º, CPC);</w:t>
      </w:r>
    </w:p>
    <w:p>
      <w:pPr>
        <w:spacing w:after="120" w:line="360" w:lineRule="auto"/>
        <w:jc w:val="both"/>
      </w:pPr>
      <w:r>
        <w:rPr>
          <w:b w:val="0"/>
          <w:i w:val="0"/>
        </w:rPr>
        <w:t>j) a produção de todas as provas admitidas, especialmente documental, pericial contábil e depoimento pessoal do representante da Ré, sob pena de confissão.</w:t>
      </w:r>
    </w:p>
    <w:p>
      <w:pPr>
        <w:spacing w:after="120" w:line="360" w:lineRule="auto"/>
        <w:ind w:firstLine="709"/>
        <w:jc w:val="both"/>
      </w:pPr>
      <w:r>
        <w:rPr>
          <w:b w:val="0"/>
          <w:i w:val="0"/>
        </w:rPr>
        <w:t>Dá-se à causa o valor de R$ 14.091,67 (quatorze mil, noventa e um reais e sessenta e sete centavos), correspondente à repetição em dobro (R$ 4.091,67) somada ao dano moral (R$ 10.000,00).</w:t>
      </w:r>
    </w:p>
    <w:p>
      <w:pPr>
        <w:spacing w:after="160" w:line="360" w:lineRule="auto"/>
        <w:jc w:val="left"/>
      </w:pPr>
      <w:r>
        <w:rPr>
          <w:b/>
          <w:i w:val="0"/>
        </w:rPr>
        <w:t>DOCUMENTOS QUE ACOMPANHAM A PETIÇÃO</w:t>
      </w:r>
    </w:p>
    <w:p>
      <w:pPr>
        <w:spacing w:after="40" w:line="360" w:lineRule="auto"/>
        <w:jc w:val="both"/>
      </w:pPr>
      <w:r>
        <w:rPr>
          <w:b w:val="0"/>
          <w:i w:val="0"/>
        </w:rPr>
        <w:t>1. Procuração e declaração de hipossuficiência;</w:t>
      </w:r>
    </w:p>
    <w:p>
      <w:pPr>
        <w:spacing w:after="40" w:line="360" w:lineRule="auto"/>
        <w:jc w:val="both"/>
      </w:pPr>
      <w:r>
        <w:rPr>
          <w:b w:val="0"/>
          <w:i w:val="0"/>
        </w:rPr>
        <w:t>2. RG e CPF da parte Autora;</w:t>
      </w:r>
    </w:p>
    <w:p>
      <w:pPr>
        <w:spacing w:after="40" w:line="360" w:lineRule="auto"/>
        <w:jc w:val="both"/>
      </w:pPr>
      <w:r>
        <w:rPr>
          <w:b w:val="0"/>
          <w:i w:val="0"/>
        </w:rPr>
        <w:t>3. Comprovante de residência;</w:t>
      </w:r>
    </w:p>
    <w:p>
      <w:pPr>
        <w:spacing w:after="40" w:line="360" w:lineRule="auto"/>
        <w:jc w:val="both"/>
      </w:pPr>
      <w:r>
        <w:rPr>
          <w:b w:val="0"/>
          <w:i w:val="0"/>
        </w:rPr>
        <w:t>4. Cédula de Crédito Bancário n.º 190728 (Banco Daycoval S.A.), com protocolo de assinatura eletrônica;</w:t>
      </w:r>
    </w:p>
    <w:p>
      <w:pPr>
        <w:spacing w:after="40" w:line="360" w:lineRule="auto"/>
        <w:jc w:val="both"/>
      </w:pPr>
      <w:r>
        <w:rPr>
          <w:b w:val="0"/>
          <w:i w:val="0"/>
        </w:rPr>
        <w:t>5. Memória de Cálculo / Laudo de Cálculo Revisional (Doc.);</w:t>
      </w:r>
    </w:p>
    <w:p>
      <w:pPr>
        <w:spacing w:after="40" w:line="360" w:lineRule="auto"/>
        <w:jc w:val="both"/>
      </w:pPr>
      <w:r>
        <w:rPr>
          <w:b w:val="0"/>
          <w:i w:val="0"/>
        </w:rPr>
        <w:t xml:space="preserve">6. </w:t>
      </w:r>
      <w:r>
        <w:rPr>
          <w:b/>
          <w:i w:val="0"/>
          <w:highlight w:val="yellow"/>
        </w:rPr>
        <w:t>[Extratos da conta Bradesco (ag. 3654, c/c 0022683-1), jul/2022 a jul/2023, comprovando os débitos das 12 parcelas — a juntar]</w:t>
      </w:r>
      <w:r>
        <w:rPr>
          <w:b w:val="0"/>
          <w:i w:val="0"/>
        </w:rPr>
        <w:t>.</w:t>
      </w:r>
    </w:p>
    <w:p>
      <w:pPr>
        <w:spacing w:after="120" w:line="360" w:lineRule="auto"/>
        <w:ind w:firstLine="709"/>
        <w:jc w:val="both"/>
      </w:pPr>
    </w:p>
    <w:p>
      <w:pPr>
        <w:spacing w:after="120" w:line="360" w:lineRule="auto"/>
        <w:jc w:val="both"/>
      </w:pPr>
      <w:r>
        <w:rPr>
          <w:b w:val="0"/>
          <w:i w:val="0"/>
        </w:rPr>
        <w:t>Nestes termos,</w:t>
      </w:r>
    </w:p>
    <w:p>
      <w:pPr>
        <w:spacing w:after="120" w:line="360" w:lineRule="auto"/>
        <w:jc w:val="both"/>
      </w:pPr>
      <w:r>
        <w:rPr>
          <w:b w:val="0"/>
          <w:i w:val="0"/>
        </w:rPr>
        <w:t>Pede deferimento.</w:t>
      </w:r>
    </w:p>
    <w:p>
      <w:pPr>
        <w:spacing w:after="120" w:line="360" w:lineRule="auto"/>
        <w:jc w:val="both"/>
      </w:pPr>
      <w:r>
        <w:rPr>
          <w:b w:val="0"/>
          <w:i w:val="0"/>
        </w:rPr>
        <w:t>Salvador/BA, 7 de outubro de 2026.</w:t>
      </w:r>
    </w:p>
    <w:p>
      <w:pPr>
        <w:spacing w:after="120" w:line="360" w:lineRule="auto"/>
        <w:ind w:firstLine="709"/>
        <w:jc w:val="both"/>
      </w:pPr>
    </w:p>
    <w:p>
      <w:pPr>
        <w:spacing w:after="0" w:line="360" w:lineRule="auto"/>
        <w:jc w:val="center"/>
      </w:pPr>
      <w:r>
        <w:rPr>
          <w:b w:val="0"/>
          <w:i w:val="0"/>
        </w:rPr>
        <w:t>______________________________________</w:t>
      </w:r>
    </w:p>
    <w:p>
      <w:pPr>
        <w:spacing w:after="0" w:line="360" w:lineRule="auto"/>
        <w:jc w:val="center"/>
      </w:pPr>
      <w:r>
        <w:rPr>
          <w:b/>
          <w:i w:val="0"/>
        </w:rPr>
        <w:t>CLEYTON DA SILVA BARBOSA</w:t>
      </w:r>
    </w:p>
    <w:p>
      <w:pPr>
        <w:spacing w:after="120" w:line="360" w:lineRule="auto"/>
        <w:jc w:val="center"/>
      </w:pPr>
      <w:r>
        <w:rPr>
          <w:b w:val="0"/>
          <w:i w:val="0"/>
        </w:rPr>
        <w:t>OAB/BA 92.148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