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ROTEIRO PARA IMPUGNAÇÃO ORAL EM AUDIÊNCIA</w:t>
      </w:r>
    </w:p>
    <w:p>
      <w:pPr>
        <w:spacing w:after="240"/>
        <w:jc w:val="center"/>
      </w:pPr>
      <w:r>
        <w:rPr>
          <w:rFonts w:ascii="Arial" w:cs="Arial" w:eastAsia="Arial" w:hAnsi="Arial"/>
          <w:sz w:val="24"/>
          <w:szCs w:val="24"/>
        </w:rPr>
        <w:t xml:space="preserve">Proc. 0015262-49.2026.8.05.0103 · Jaciara Santos de Jesus × Banco Bradesco S.A.</w:t>
      </w:r>
    </w:p>
    <w:p>
      <w:pPr>
        <w:spacing w:after="200" w:line="340"/>
        <w:jc w:val="both"/>
      </w:pPr>
      <w:r>
        <w:rPr>
          <w:rFonts w:ascii="Arial" w:cs="Arial" w:eastAsia="Arial" w:hAnsi="Arial"/>
          <w:sz w:val="24"/>
          <w:szCs w:val="24"/>
        </w:rPr>
        <w:t xml:space="preserve">Cada ponto resume em até duas linhas o que defendemos. Ordem: do mais forte (contrato e TED) ao acessório.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 · Não há contrato.</w:t>
      </w:r>
      <w:r>
        <w:rPr>
          <w:rFonts w:ascii="Arial" w:cs="Arial" w:eastAsia="Arial" w:hAnsi="Arial"/>
          <w:sz w:val="22"/>
          <w:szCs w:val="22"/>
        </w:rPr>
        <w:t xml:space="preserve"> A Ré não juntou contrato nem cédula assinada; o DDC é relatório informativo de 08/09/2026, emitido após a ação, sem aceite da autora (CC 104).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 · "Assinatura eletrônica" é rótulo.</w:t>
      </w:r>
      <w:r>
        <w:rPr>
          <w:rFonts w:ascii="Arial" w:cs="Arial" w:eastAsia="Arial" w:hAnsi="Arial"/>
          <w:sz w:val="22"/>
          <w:szCs w:val="22"/>
        </w:rPr>
        <w:t xml:space="preserve"> "AQ.CREDITOCONSIGNADO" é o nome do produto do banco, não assinatura da autora: sem identificação, IP, token ou biometria.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 · Ônus da prova é da Ré.</w:t>
      </w:r>
      <w:r>
        <w:rPr>
          <w:rFonts w:ascii="Arial" w:cs="Arial" w:eastAsia="Arial" w:hAnsi="Arial"/>
          <w:sz w:val="22"/>
          <w:szCs w:val="22"/>
        </w:rPr>
        <w:t xml:space="preserve"> Inversão de pleno direito (CDC 6º, VIII; CPC 373, II; Tema 1.061/STJ [conferir]); no Juizado, a lacuna probatória da Ré é mérito e confirma a inicial.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 · Não há TED nem crédito.</w:t>
      </w:r>
      <w:r>
        <w:rPr>
          <w:rFonts w:ascii="Arial" w:cs="Arial" w:eastAsia="Arial" w:hAnsi="Arial"/>
          <w:sz w:val="22"/>
          <w:szCs w:val="22"/>
        </w:rPr>
        <w:t xml:space="preserve"> Extratos da própria Ré sem entrada de R$ 963,24; contas paradas de 08/2020 a 10/2021; sem entrega não há mútuo (CC 586 [conferir]).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 · DDC aponta outra conta.</w:t>
      </w:r>
      <w:r>
        <w:rPr>
          <w:rFonts w:ascii="Arial" w:cs="Arial" w:eastAsia="Arial" w:hAnsi="Arial"/>
          <w:sz w:val="22"/>
          <w:szCs w:val="22"/>
        </w:rPr>
        <w:t xml:space="preserve"> O crédito seria na Ag. 4103 / C/C 7869591, e a conta da autora é Ag. 0237-2 / 578-9; a Ré não provou que a primeira é dela.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 · "Jornada" é prova genérica.</w:t>
      </w:r>
      <w:r>
        <w:rPr>
          <w:rFonts w:ascii="Arial" w:cs="Arial" w:eastAsia="Arial" w:hAnsi="Arial"/>
          <w:sz w:val="22"/>
          <w:szCs w:val="22"/>
        </w:rPr>
        <w:t xml:space="preserve"> Treinamento genérico de 2017/2018, sem autora, contrato, canal ou operador; a Ré nada disse da "promotora".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 · DDC se contradiz.</w:t>
      </w:r>
      <w:r>
        <w:rPr>
          <w:rFonts w:ascii="Arial" w:cs="Arial" w:eastAsia="Arial" w:hAnsi="Arial"/>
          <w:sz w:val="22"/>
          <w:szCs w:val="22"/>
        </w:rPr>
        <w:t xml:space="preserve"> Principal somado de R$ 1.238,71 para operação de R$ 999,20 com IOF; CET de 0,00%; primeira parcela só após seis meses.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 · Estornos feitos pela Ré.</w:t>
      </w:r>
      <w:r>
        <w:rPr>
          <w:rFonts w:ascii="Arial" w:cs="Arial" w:eastAsia="Arial" w:hAnsi="Arial"/>
          <w:sz w:val="22"/>
          <w:szCs w:val="22"/>
        </w:rPr>
        <w:t xml:space="preserve"> "Estorno de parc. consig." de R$ 464,00 (14/02/22) e R$ 28,00 (18/07/23, igual à parcela): contrato regular não se estorna.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 · Responsabilidade, dobro e dano moral.</w:t>
      </w:r>
      <w:r>
        <w:rPr>
          <w:rFonts w:ascii="Arial" w:cs="Arial" w:eastAsia="Arial" w:hAnsi="Arial"/>
          <w:sz w:val="22"/>
          <w:szCs w:val="22"/>
        </w:rPr>
        <w:t xml:space="preserve"> Fortuito interno (Súm. 479); dobro (CDC 42); dano moral presumido, R$ 40.000,00 como na inicial.</w:t>
      </w:r>
    </w:p>
    <w:p>
      <w:pPr>
        <w:spacing w:after="120" w:line="30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 · Preliminares (só as arguidas).</w:t>
      </w:r>
      <w:r>
        <w:rPr>
          <w:rFonts w:ascii="Arial" w:cs="Arial" w:eastAsia="Arial" w:hAnsi="Arial"/>
          <w:sz w:val="22"/>
          <w:szCs w:val="22"/>
        </w:rPr>
        <w:t xml:space="preserve"> Exclusão não elimina interesse; sem prescrição (1ª parcela 10/2021, ação 2026); sem contrato não há perícia.</w:t>
      </w:r>
    </w:p>
    <w:p>
      <w:pPr>
        <w:keepNext/>
        <w:spacing w:after="16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CINCO PERGUNTAS AO PREPOSTO (DEPOIMENTO PESSOAL)</w:t>
      </w:r>
    </w:p>
    <w:p>
      <w:pPr>
        <w:spacing w:after="160" w:line="340"/>
        <w:jc w:val="both"/>
      </w:pPr>
      <w:r>
        <w:rPr>
          <w:rFonts w:ascii="Arial" w:cs="Arial" w:eastAsia="Arial" w:hAnsi="Arial"/>
          <w:sz w:val="24"/>
          <w:szCs w:val="24"/>
        </w:rPr>
        <w:t xml:space="preserve">Perguntas fechadas, para que qualquer resposta (ou o “não sei”) ajude a Autora. Em cada uma, o que se busca e o risco.</w:t>
      </w:r>
    </w:p>
    <w:p>
      <w:pPr>
        <w:spacing w:after="80" w:line="3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Por qual canal exato o contrato nº 446583110 foi contratado (aplicativo, internet banking, caixa eletrônico, agência ou correspondente/promotora)? Quem é a promotora e qual o usuário ou operador que registrou a operação, em que data e hora?</w:t>
      </w:r>
    </w:p>
    <w:p>
      <w:pPr>
        <w:spacing w:after="200" w:line="3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</w:t>
      </w:r>
      <w:r>
        <w:rPr>
          <w:rFonts w:ascii="Arial" w:cs="Arial" w:eastAsia="Arial" w:hAnsi="Arial"/>
          <w:sz w:val="22"/>
          <w:szCs w:val="22"/>
        </w:rPr>
        <w:t xml:space="preserve"> o DDC cita “PROMOTORA”. Se ele não souber, o banco não sabe como o contrato nasceu. Se disser que foi digital, pedir o log (IP, dispositivo, geolocalização). Se disser agência ou promotora, pedir quem atendeu e qual documento a Autora assinou.</w:t>
      </w:r>
    </w:p>
    <w:p>
      <w:pPr>
        <w:spacing w:after="80" w:line="3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O senhor sabe dizer se a conta Agência 4103, Conta 7869591, que consta do DDC, pertence à Autora? Em qual extrato dos autos aparece a entrada de R$ 963,24 ou de R$ 927,28? Existe comprovante de TED?</w:t>
      </w:r>
    </w:p>
    <w:p>
      <w:pPr>
        <w:spacing w:after="200" w:line="3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</w:t>
      </w:r>
      <w:r>
        <w:rPr>
          <w:rFonts w:ascii="Arial" w:cs="Arial" w:eastAsia="Arial" w:hAnsi="Arial"/>
          <w:sz w:val="22"/>
          <w:szCs w:val="22"/>
        </w:rPr>
        <w:t xml:space="preserve"> fechar o ponto da ausência de TED. O DDC aponta conta diversa da conta 0237-2/578-9 e os extratos não mostram o crédito. O preposto terá de admitir que não há comprovante nos autos.</w:t>
      </w:r>
    </w:p>
    <w:p>
      <w:pPr>
        <w:spacing w:after="80" w:line="3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Existe contrato ou cédula de crédito bancário assinada pela Autora, por escrito, por biometria, por token ou por certificado digital? Onde está nos autos? O que significa a expressão “Assinado eletronicamente por meio do AQ.CREDITOCONSIGNADO”?</w:t>
      </w:r>
    </w:p>
    <w:p>
      <w:pPr>
        <w:spacing w:after="200" w:line="3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</w:t>
      </w:r>
      <w:r>
        <w:rPr>
          <w:rFonts w:ascii="Arial" w:cs="Arial" w:eastAsia="Arial" w:hAnsi="Arial"/>
          <w:sz w:val="22"/>
          <w:szCs w:val="22"/>
        </w:rPr>
        <w:t xml:space="preserve"> fazê-lo admitir que a “assinatura” é rótulo do sistema e que não há instrumento assinado pela Autora. Se afirmar que existe, exigir que indique a folha ou o ID.</w:t>
      </w:r>
    </w:p>
    <w:p>
      <w:pPr>
        <w:spacing w:after="80" w:line="3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A Autora recebe o benefício do INSS por conta no Bradesco? Ela tinha cartão, senha ou aplicativo ativo para contratar sozinha? Se recebe em outro banco, em que agência, com qual funcionário e em que data foi o atendimento presencial?</w:t>
      </w:r>
    </w:p>
    <w:p>
      <w:pPr>
        <w:spacing w:after="200" w:line="3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</w:t>
      </w:r>
      <w:r>
        <w:rPr>
          <w:rFonts w:ascii="Arial" w:cs="Arial" w:eastAsia="Arial" w:hAnsi="Arial"/>
          <w:sz w:val="22"/>
          <w:szCs w:val="22"/>
        </w:rPr>
        <w:t xml:space="preserve"> os extratos não têm crédito de benefício. A jornada para beneficiário de outro banco é presencial. Se não há registro de atendimento, desmonta-se a tese de contratação regular.</w:t>
      </w:r>
    </w:p>
    <w:p>
      <w:pPr>
        <w:spacing w:after="80" w:line="34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Se o contrato era regular, por que o banco estornou parcelas do consignado (R$ 464,00 em 14/02/2022 e R$ 28,00 em 18/07/2023) e por que o contrato foi excluído em 18/04/2023? Houve reclamação da Autora? O banco reconheceu algum erro?</w:t>
      </w:r>
    </w:p>
    <w:p>
      <w:pPr>
        <w:spacing w:after="200" w:line="34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</w:t>
      </w:r>
      <w:r>
        <w:rPr>
          <w:rFonts w:ascii="Arial" w:cs="Arial" w:eastAsia="Arial" w:hAnsi="Arial"/>
          <w:sz w:val="22"/>
          <w:szCs w:val="22"/>
        </w:rPr>
        <w:t xml:space="preserve"> extrair o reconhecimento tácito da irregularidade.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Risco:</w:t>
      </w:r>
      <w:r>
        <w:rPr>
          <w:rFonts w:ascii="Arial" w:cs="Arial" w:eastAsia="Arial" w:hAnsi="Arial"/>
          <w:sz w:val="22"/>
          <w:szCs w:val="22"/>
        </w:rPr>
        <w:t xml:space="preserve"> ele pode dizer que o estorno foi por inadimplência ou erro operacional; mesmo assim, pedir que explique e que indique o documento. Se disser que foi a pedido da Autora, registrar que houve reclamação prévia (reforça a boa-fé e o dano).</w:t>
      </w:r>
    </w:p>
    <w:p>
      <w:pPr>
        <w:keepNext/>
        <w:spacing w:after="16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ALERTAS AO ADVOGADO (CONFERIR ANTES DE PROTOCOLAR E DE IR À AUDIÊNCIA)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contestação não veio nos anexos.</w:t>
      </w:r>
      <w:r>
        <w:rPr>
          <w:rFonts w:ascii="Arial" w:cs="Arial" w:eastAsia="Arial" w:hAnsi="Arial"/>
          <w:sz w:val="24"/>
          <w:szCs w:val="24"/>
        </w:rPr>
        <w:t xml:space="preserve"> Recebi a inicial, o DDC, os dois extratos e a “Jornada”. A peça rebate o que a Ré juntou e as defesas usuais. A seção 2 (preliminares) é condicional: apague o que não foi arguido e inclua, se for o caso, algum argumento específico da contestação que eu não pude ver. Os campos amarelos pedem conferência.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Inconsistência na inicial:</w:t>
      </w:r>
      <w:r>
        <w:rPr>
          <w:rFonts w:ascii="Arial" w:cs="Arial" w:eastAsia="Arial" w:hAnsi="Arial"/>
          <w:sz w:val="24"/>
          <w:szCs w:val="24"/>
        </w:rPr>
        <w:t xml:space="preserve"> ela chama a Autora de “pessoa idosa” (CF 230, Lei 10.741), mas informa 52 anos. Não usei o argumento de idosa na impugnação; a Ré pode explorar isso.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Número do contrato:</w:t>
      </w:r>
      <w:r>
        <w:rPr>
          <w:rFonts w:ascii="Arial" w:cs="Arial" w:eastAsia="Arial" w:hAnsi="Arial"/>
          <w:sz w:val="24"/>
          <w:szCs w:val="24"/>
        </w:rPr>
        <w:t xml:space="preserve"> a inicial cita o contrato 345867624-8 (numeração do INSS) e o DDC traz 446583110 (numeração interna do banco). Confira no HISCON que se trata da mesma operação (parcela de R$ 28,00, averbação em abril/2021, exclusão em 18/04/2023). Também confira a data: a inicial fala em averbação em 18/04/2021 (um domingo) e o DDC fixa o contrato em 22/04/2021, data posterior.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Valor do dobro:</w:t>
      </w:r>
      <w:r>
        <w:rPr>
          <w:rFonts w:ascii="Arial" w:cs="Arial" w:eastAsia="Arial" w:hAnsi="Arial"/>
          <w:sz w:val="24"/>
          <w:szCs w:val="24"/>
        </w:rPr>
        <w:t xml:space="preserve"> a inicial pede R$ 1.344,00 (R$ 672,00 × 2) e diz “04 parcelas descontadas”, mas R$ 672,00 equivale a 24 parcelas de R$ 28,00. Pelo cronograma do DDC, venceram 19 parcelas até 18/04/2023 (R$ 532,00). Confira o HISCON e, se necessário, ajuste o pedido ou fundamente a diferença. Mantive o dano moral de R$ 40.000,00 como na inicial.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Pontos que a Ré pode explorar:</w:t>
      </w:r>
      <w:r>
        <w:rPr>
          <w:rFonts w:ascii="Arial" w:cs="Arial" w:eastAsia="Arial" w:hAnsi="Arial"/>
          <w:sz w:val="24"/>
          <w:szCs w:val="24"/>
        </w:rPr>
        <w:t xml:space="preserve"> (i) depósitos “DEP CORBAN DINHEIRO” de R$ 150,00 em 28/10/2021, 30/11/2021, 29/12/2021 e 28/01/2022, com o histórico “O PRÓPRIO FAVORECIDO”: pergunte à cliente quem os fez e por quê; (ii) o estorno de R$ 464,00 de 14/02/2022: descubra a que se refere; (iii) tarifas mensais de cesta de serviços numa conta sem uso: eventual aditamento ou pedido autônomo.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Citações a conferir (campos amarelos):</w:t>
      </w:r>
      <w:r>
        <w:rPr>
          <w:rFonts w:ascii="Arial" w:cs="Arial" w:eastAsia="Arial" w:hAnsi="Arial"/>
          <w:sz w:val="24"/>
          <w:szCs w:val="24"/>
        </w:rPr>
        <w:t xml:space="preserve"> Tema 1.061/STJ, arts. 586/587 do CC, Lei 10.820/03 art. 6º, Res. CMN 3.517/07, art. 27 do CDC, CPC 434 e 385 § 1º, Lei 9.099 art. 55. Eram fora da lista autorizada do meu material de referência, por isso as marquei. Os demais precedentes estão na própria inicial ou na lista autorizada.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Etapa de pausa:</w:t>
      </w:r>
      <w:r>
        <w:rPr>
          <w:rFonts w:ascii="Arial" w:cs="Arial" w:eastAsia="Arial" w:hAnsi="Arial"/>
          <w:sz w:val="24"/>
          <w:szCs w:val="24"/>
        </w:rPr>
        <w:t xml:space="preserve"> o fluxo habitual do agente de réplica prevê pausa para validar o mapa de argumentos antes da redação. Como você pediu a peça direto, segui adiante. O semáforo é 🟢 VERDE: a defesa da Ré é frágil (sem contrato, sem TED, documentos genéricos).</w:t>
      </w:r>
    </w:p>
    <w:p>
      <w:pPr>
        <w:pStyle w:val="ListParagraph"/>
        <w:numPr>
          <w:ilvl w:val="0"/>
          <w:numId w:val="2"/>
        </w:numPr>
        <w:spacing w:after="100" w:line="320"/>
        <w:jc w:val="both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Agente solicitado:</w:t>
      </w:r>
      <w:r>
        <w:rPr>
          <w:rFonts w:ascii="Arial" w:cs="Arial" w:eastAsia="Arial" w:hAnsi="Arial"/>
          <w:sz w:val="24"/>
          <w:szCs w:val="24"/>
        </w:rPr>
        <w:t xml:space="preserve"> o agente “replica-consignado-fraudado / prompt mestre” não está instalado neste ambiente. Usei o método da skill de réplica de conta fraudulenta, adaptado para consignado.</w:t>
      </w:r>
    </w:p>
    <w:sectPr>
      <w:footerReference w:type="default" r:id="rId7"/>
      <w:pgSz w:w="11906" w:h="16838" w:orient="portrait"/>
      <w:pgMar w:top="1700" w:right="1134" w:bottom="1300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Roteiro oral — Proc. 0015262-49.2026.8.05.0103 — pág.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2026-10-21T04:41:18.447Z</dcterms:created>
  <dcterms:modified xsi:type="dcterms:W3CDTF">2026-10-21T04:41:18.447Z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