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Antarctic Stream-Channel Change to Its Climate Drivers, from Terrain Data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Target division:</w:t>
      </w:r>
      <w:r>
        <w:rPr>
          <w:rFonts w:ascii="Calibri" w:hAnsi="Calibri"/>
          <w:b w:val="0"/>
          <w:i w:val="0"/>
        </w:rPr>
        <w:t xml:space="preserve"> Earth Science Division (EARTH25), Antarctic cryosphere / climate </w:t>
      </w:r>
      <w:r>
        <w:rPr>
          <w:rFonts w:ascii="Calibri" w:hAnsi="Calibri"/>
          <w:b w:val="0"/>
          <w:i w:val="0"/>
        </w:rPr>
        <w:t>Proposal deadline:</w:t>
      </w:r>
      <w:r>
        <w:rPr>
          <w:rFonts w:ascii="Calibri" w:hAnsi="Calibri"/>
          <w:b w:val="0"/>
          <w:i w:val="0"/>
        </w:rPr>
        <w:t xml:space="preserve"> 14 July 2026 (11:59 PM EDT) </w:t>
      </w:r>
      <w:r>
        <w:rPr>
          <w:rFonts w:ascii="Calibri" w:hAnsi="Calibri"/>
          <w:b w:val="0"/>
          <w:i w:val="0"/>
        </w:rPr>
        <w:t>Structure:</w:t>
      </w:r>
      <w:r>
        <w:rPr>
          <w:rFonts w:ascii="Calibri" w:hAnsi="Calibri"/>
          <w:b w:val="0"/>
          <w:i w:val="0"/>
        </w:rPr>
        <w:t xml:space="preserve"> Graduate student = Future Investigator (FI), primary author and intellectual lead; faculty advisor = PI of record. Award up to ~$50,000/yr for up to 3 years.</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 and predicts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Can the terrain-only detector work as well on free satellite data as it does on airborne lidar, across all four valleys? </w:t>
      </w:r>
      <w:r>
        <w:rPr>
          <w:rFonts w:ascii="Calibri" w:hAnsi="Calibri"/>
          <w:b w:val="0"/>
          <w:i w:val="0"/>
          <w:sz w:val="20"/>
        </w:rPr>
        <w:t>(O3)</w:t>
      </w:r>
      <w:r>
        <w:rPr>
          <w:rFonts w:ascii="Calibri" w:hAnsi="Calibri"/>
          <w:b w:val="0"/>
          <w:i w:val="0"/>
          <w:sz w:val="20"/>
        </w:rPr>
        <w:t xml:space="preserve"> Can every change map carry an honest, per-pixel error bar? The measurement foundation is already running and reproduces Barlow's published uncertainty ranges, and a first driver signal is shown in §4.</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free REMA satellite DEMs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 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is happening (Denton Hills is the erosion hotspot; parts of Taylor Valley are accelerating) but explicitly defers two threads to future work: </w:t>
      </w:r>
      <w:r>
        <w:rPr>
          <w:rFonts w:ascii="Calibri" w:hAnsi="Calibri"/>
          <w:b w:val="0"/>
          <w:i w:val="0"/>
        </w:rPr>
        <w:t>(a) coupling geomorphic change to physical/climate drivers</w:t>
      </w:r>
      <w:r>
        <w:rPr>
          <w:rFonts w:ascii="Calibri" w:hAnsi="Calibri"/>
          <w:b w:val="0"/>
          <w:i w:val="0"/>
        </w:rPr>
        <w:t xml:space="preserve">, and </w:t>
      </w:r>
      <w:r>
        <w:rPr>
          <w:rFonts w:ascii="Calibri" w:hAnsi="Calibri"/>
          <w:b w:val="0"/>
          <w:i w:val="0"/>
        </w:rPr>
        <w:t>(b) generalizing the model beyond the MDVs.</w:t>
      </w:r>
      <w:r>
        <w:rPr>
          <w:rFonts w:ascii="Calibri" w:hAnsi="Calibri"/>
          <w:b w:val="0"/>
          <w:i w:val="0"/>
        </w:rPr>
        <w:t xml:space="preserve"> A Future Investigator project lives precisely in that gap: turning a </w:t>
      </w:r>
      <w:r>
        <w:rPr>
          <w:rFonts w:ascii="Calibri" w:hAnsi="Calibri"/>
          <w:b w:val="0"/>
          <w:i/>
        </w:rPr>
        <w:t>monitor</w:t>
      </w:r>
      <w:r>
        <w:rPr>
          <w:rFonts w:ascii="Calibri" w:hAnsi="Calibri"/>
          <w:b w:val="0"/>
          <w:i w:val="0"/>
        </w:rPr>
        <w:t xml:space="preserve"> into an </w:t>
      </w:r>
      <w:r>
        <w:rPr>
          <w:rFonts w:ascii="Calibri" w:hAnsi="Calibri"/>
          <w:b w:val="0"/>
          <w:i/>
        </w:rPr>
        <w:t>explanatory and predictive</w:t>
      </w:r>
      <w:r>
        <w:rPr>
          <w:rFonts w:ascii="Calibri" w:hAnsi="Calibri"/>
          <w:b w:val="0"/>
          <w:i w:val="0"/>
        </w:rPr>
        <w:t xml:space="preserve"> tool (Fig. 1). This is a genuine scientific increment, not a replication.</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From detection (Barlow 2026; the first four stages) to the proposed attribution and prediction science (last two stages, the new contribution of this project).</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Earth's largest ice-free Antarctic region, serving the Earth Science Division's cryosphere and Earth-surface-change focus areas. The methodological deliverables generalize: terrain-only feature detection (O2)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the factors that could be driving it: air and ground temperature, sunshine, </w:t>
            </w:r>
            <w:r>
              <w:rPr>
                <w:rFonts w:ascii="Calibri" w:hAnsi="Calibri"/>
                <w:b w:val="0"/>
                <w:i w:val="0"/>
                <w:sz w:val="18"/>
              </w:rPr>
              <w:t>positive degree-days (PDD</w:t>
            </w:r>
            <w:r>
              <w:rPr>
                <w:rFonts w:ascii="Calibri" w:hAnsi="Calibri"/>
                <w:b w:val="0"/>
                <w:i w:val="0"/>
                <w:sz w:val="18"/>
              </w:rPr>
              <w:t xml:space="preserve"> — a running total of how much warm weather the season delivered</w:t>
            </w:r>
            <w:r>
              <w:rPr>
                <w:rFonts w:ascii="Calibri" w:hAnsi="Calibri"/>
                <w:b w:val="0"/>
                <w:i w:val="0"/>
                <w:sz w:val="18"/>
              </w:rPr>
              <w:t>)</w:t>
            </w:r>
            <w:r>
              <w:rPr>
                <w:rFonts w:ascii="Calibri" w:hAnsi="Calibri"/>
                <w:b w:val="0"/>
                <w:i w:val="0"/>
                <w:sz w:val="18"/>
              </w:rPr>
              <w:t>, melt-season water flow, glacier mass balance, and summer thaw depth. All driver data come from the MDV-LTER station network plus the ERA5/AMPS weather models.</w:t>
            </w:r>
          </w:p>
        </w:tc>
        <w:tc>
          <w:tcPr>
            <w:tcW w:type="dxa" w:w="2412"/>
          </w:tcPr>
          <w:p>
            <w:pPr>
              <w:spacing w:after="20"/>
            </w:pPr>
            <w:r/>
            <w:r>
              <w:rPr>
                <w:rFonts w:ascii="Calibri" w:hAnsi="Calibri"/>
                <w:b w:val="0"/>
                <w:i w:val="0"/>
                <w:sz w:val="18"/>
              </w:rPr>
              <w:t>H1:</w:t>
            </w:r>
            <w:r>
              <w:rPr>
                <w:rFonts w:ascii="Calibri" w:hAnsi="Calibri"/>
                <w:b w:val="0"/>
                <w:i w:val="0"/>
                <w:sz w:val="18"/>
              </w:rPr>
              <w:t xml:space="preserve"> What controls how much sediment a stream moves is </w:t>
            </w:r>
            <w:r>
              <w:rPr>
                <w:rFonts w:ascii="Calibri" w:hAnsi="Calibri"/>
                <w:b w:val="0"/>
                <w:i/>
                <w:sz w:val="18"/>
              </w:rPr>
              <w:t>cumulative melt energy</w:t>
            </w:r>
            <w:r>
              <w:rPr>
                <w:rFonts w:ascii="Calibri" w:hAnsi="Calibri"/>
                <w:b w:val="0"/>
                <w:i w:val="0"/>
                <w:sz w:val="18"/>
              </w:rPr>
              <w:t xml:space="preserve"> — the total melting heat the season delivered — not simply how much water passed through. A heat-based model should predict each stream's rate better than water volume alone, and explain the scatter that water volume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Cross-sensor &amp; cross-valley generalization.</w:t>
            </w:r>
            <w:r>
              <w:rPr>
                <w:rFonts w:ascii="Calibri" w:hAnsi="Calibri"/>
                <w:b w:val="0"/>
                <w:i w:val="0"/>
                <w:sz w:val="18"/>
              </w:rPr>
              <w:t xml:space="preserve"> The detector works best on airborne lidar. Measure exactly how the satellite DEMs disagree with lidar (the </w:t>
            </w:r>
            <w:r>
              <w:rPr>
                <w:rFonts w:ascii="Calibri" w:hAnsi="Calibri"/>
                <w:b w:val="0"/>
                <w:i w:val="0"/>
                <w:sz w:val="18"/>
              </w:rPr>
              <w:t>domain shift</w:t>
            </w:r>
            <w:r>
              <w:rPr>
                <w:rFonts w:ascii="Calibri" w:hAnsi="Calibri"/>
                <w:b w:val="0"/>
                <w:i w:val="0"/>
                <w:sz w:val="18"/>
              </w:rPr>
              <w:t>), correct for it, and show the detector performs nearly as well on satellite data — across all four valleys, not just Taylor.</w:t>
            </w:r>
          </w:p>
        </w:tc>
        <w:tc>
          <w:tcPr>
            <w:tcW w:type="dxa" w:w="2412"/>
          </w:tcPr>
          <w:p>
            <w:pPr>
              <w:spacing w:after="20"/>
            </w:pPr>
            <w:r/>
            <w:r>
              <w:rPr>
                <w:rFonts w:ascii="Calibri" w:hAnsi="Calibri"/>
                <w:b w:val="0"/>
                <w:i w:val="0"/>
                <w:sz w:val="18"/>
              </w:rPr>
              <w:t>H2:</w:t>
            </w:r>
            <w:r>
              <w:rPr>
                <w:rFonts w:ascii="Calibri" w:hAnsi="Calibri"/>
                <w:b w:val="0"/>
                <w:i w:val="0"/>
                <w:sz w:val="18"/>
              </w:rPr>
              <w:t xml:space="preserve"> Most of the lidar-vs-satellite performance gap is predictable, terrain-dependent measurement bias. Correcting that bias per pixel (using slope and aspect) recovers near-lidar accuracy on REMA.</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one that accounts for slope, aspect, and sensor — so every change map ships with an error bar you can defend.</w:t>
            </w:r>
          </w:p>
        </w:tc>
        <w:tc>
          <w:tcPr>
            <w:tcW w:type="dxa" w:w="2412"/>
          </w:tcPr>
          <w:p>
            <w:pPr>
              <w:spacing w:after="20"/>
            </w:pPr>
            <w:r/>
            <w:r>
              <w:rPr>
                <w:rFonts w:ascii="Calibri" w:hAnsi="Calibri"/>
                <w:b w:val="0"/>
                <w:i w:val="0"/>
                <w:sz w:val="18"/>
              </w:rPr>
              <w:t>H3:</w:t>
            </w:r>
            <w:r>
              <w:rPr>
                <w:rFonts w:ascii="Calibri" w:hAnsi="Calibri"/>
                <w:b w:val="0"/>
                <w:i w:val="0"/>
                <w:sz w:val="18"/>
              </w:rPr>
              <w:t xml:space="preserve"> A 95%-confidence detection threshold built this way actually behaves like one: on ground that did not change,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§6).</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 meteorology, 21 stream-discharge gauges, mass balance for 7 glaciers, and soil temperature/moisture (a proxy for summer thaw depth) — with the ERA5 and AMPS weather models filling the gaps between stations. Training labels: the public MCM-LTER stream centerlines, standing in for Barlow's access-gated 217 hand-digitized tiles (§7 risk).</w:t>
      </w:r>
    </w:p>
    <w:p>
      <w:pPr>
        <w:spacing w:after="120"/>
      </w:pPr>
      <w:r>
        <w:rPr>
          <w:rFonts w:ascii="Calibri" w:hAnsi="Calibri"/>
          <w:b w:val="0"/>
          <w:i w:val="0"/>
        </w:rPr>
        <w:t>O1, Attribution.</w:t>
      </w:r>
      <w:r>
        <w:rPr>
          <w:rFonts w:ascii="Calibri" w:hAnsi="Calibri"/>
          <w:b w:val="0"/>
          <w:i w:val="0"/>
        </w:rPr>
        <w:t xml:space="preserve"> For each gauged stream and epoch, the proposed work will (i) measure the stream's change rate — the DoD inside its channel mask (already operational, Fig. 2); (ii) build that stream's </w:t>
      </w:r>
      <w:r>
        <w:rPr>
          <w:rFonts w:ascii="Calibri" w:hAnsi="Calibri"/>
          <w:b w:val="0"/>
          <w:i w:val="0"/>
        </w:rPr>
        <w:t>energy history</w:t>
      </w:r>
      <w:r>
        <w:rPr>
          <w:rFonts w:ascii="Calibri" w:hAnsi="Calibri"/>
          <w:b w:val="0"/>
          <w:i w:val="0"/>
        </w:rPr>
        <w:t xml:space="preserve">: how much warm weather (PDD), sunlight, water flow, and thaw depth it experienced, from the LTER stations plus ERA5/AMPS; (iii) fit statistical models (hierarchical regression and random forests) relating rate to drivers, always testing each model on streams it never saw during fitting; and (iv) test H1 head-to-head — does melt energy predict the rates better than water volume alone? (The water-only relationship in Fig. 5 is real but incomplete.) For the Taylor streams with all three epochs, the </w:t>
      </w:r>
      <w:r>
        <w:rPr>
          <w:rFonts w:ascii="Calibri" w:hAnsi="Calibri"/>
          <w:b w:val="0"/>
          <w:i/>
        </w:rPr>
        <w:t>change</w:t>
      </w:r>
      <w:r>
        <w:rPr>
          <w:rFonts w:ascii="Calibri" w:hAnsi="Calibri"/>
          <w:b w:val="0"/>
          <w:i w:val="0"/>
        </w:rPr>
        <w:t xml:space="preserve"> in rate (acceleration) will be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Generalization.</w:t>
      </w:r>
      <w:r>
        <w:rPr>
          <w:rFonts w:ascii="Calibri" w:hAnsi="Calibri"/>
          <w:b w:val="0"/>
          <w:i w:val="0"/>
        </w:rPr>
        <w:t xml:space="preserve"> The work will first measure how the satellite and lidar elevations disagree over ground that has not changed, and how that disagreement depends on slope and aspect. It will then learn a correction for the disagreement, retrain the segmenter with both sensors represented in its training data, and score accuracy (F1) across all four valleys and both sensor types. The FI's prior work applying this same architecture to a completely different landscape (§5) shows it transfers across sensors and biomes.</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 (Fig. 4 shows today's valley-wide version.)</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 (e.g., an early QC catch, a 2001 nodata bug inflating NMAD to 2.7 m, was identified and fixed).</w:t>
      </w:r>
    </w:p>
    <w:p>
      <w:pPr>
        <w:pBdr>
          <w:bottom w:val="single" w:sz="6" w:space="1" w:color="BBBBBB"/>
        </w:pBdr>
      </w:pPr>
    </w:p>
    <w:p>
      <w:pPr>
        <w:spacing w:before="140" w:after="60"/>
      </w:pPr>
      <w:r>
        <w:rPr>
          <w:rFonts w:ascii="Calibri" w:hAnsi="Calibri"/>
          <w:b/>
          <w:i w:val="0"/>
          <w:sz w:val="24"/>
        </w:rPr>
        <w:t>4. Preliminary Results</w:t>
      </w:r>
    </w:p>
    <w:p>
      <w:pPr>
        <w:spacing w:after="120"/>
      </w:pPr>
      <w:r>
        <w:rPr>
          <w:rFonts w:ascii="Calibri" w:hAnsi="Calibri"/>
          <w:b w:val="0"/>
          <w:i w:val="0"/>
        </w:rPr>
        <w:t xml:space="preserve">The change-detection foundation the proposed work builds on is already operational. A reproduction of Barlow's change detection on Taylor Valley falls </w:t>
      </w:r>
      <w:r>
        <w:rPr>
          <w:rFonts w:ascii="Calibri" w:hAnsi="Calibri"/>
          <w:b w:val="0"/>
          <w:i w:val="0"/>
        </w:rPr>
        <w:t>inside her published uncertainty ranges</w:t>
      </w:r>
      <w:r>
        <w:rPr>
          <w:rFonts w:ascii="Calibri" w:hAnsi="Calibri"/>
          <w:b w:val="0"/>
          <w:i w:val="0"/>
        </w:rPr>
        <w:t xml:space="preserve"> (below), and an initial driver analysis surfaces the first attribution signal that O1 will develop.</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Elevation change over the same Taylor Valley stream-corridor window in two periods: (a) 2001→2014, comparing two lidar surveys; (b) 2014→2021-23, comparing lidar against the REMA satellite DEM. Red = surface lowered (erosion), blue = surface raised (deposition). Pixels are drawn only where the change exceeds the detection floor (LOD95) — i.e., is too large to be measurement noise — and coherent erosion/deposition patterns emerge above that floor. The broad flat patch in (a) is not sediment at all: Lake Fryxell rose ~1.5 m between surveys, and an automated standing-water screen detects such flat water surfaces and excludes them from every stream-rate statistic.</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 pair</w:t>
            </w:r>
          </w:p>
        </w:tc>
        <w:tc>
          <w:tcPr>
            <w:tcW w:type="dxa" w:w="1930"/>
            <w:shd w:val="clear" w:fill="E8E8E8"/>
          </w:tcPr>
          <w:p>
            <w:pPr>
              <w:spacing w:after="20"/>
            </w:pPr>
            <w:r>
              <w:rPr>
                <w:b/>
              </w:rPr>
            </w:r>
            <w:r>
              <w:rPr>
                <w:rFonts w:ascii="Calibri" w:hAnsi="Calibri"/>
                <w:b/>
                <w:i w:val="0"/>
                <w:sz w:val="18"/>
              </w:rPr>
              <w:t>NMAD</w:t>
            </w:r>
          </w:p>
        </w:tc>
        <w:tc>
          <w:tcPr>
            <w:tcW w:type="dxa" w:w="1930"/>
            <w:shd w:val="clear" w:fill="E8E8E8"/>
          </w:tcPr>
          <w:p>
            <w:pPr>
              <w:spacing w:after="20"/>
            </w:pPr>
            <w:r>
              <w:rPr>
                <w:b/>
              </w:rPr>
            </w:r>
            <w:r>
              <w:rPr>
                <w:rFonts w:ascii="Calibri" w:hAnsi="Calibri"/>
                <w:b/>
                <w:i w:val="0"/>
                <w:sz w:val="18"/>
              </w:rPr>
              <w:t>LOD95</w:t>
            </w:r>
          </w:p>
        </w:tc>
        <w:tc>
          <w:tcPr>
            <w:tcW w:type="dxa" w:w="1930"/>
            <w:shd w:val="clear" w:fill="E8E8E8"/>
          </w:tcPr>
          <w:p>
            <w:pPr>
              <w:spacing w:after="20"/>
            </w:pPr>
            <w:r>
              <w:rPr>
                <w:b/>
              </w:rPr>
            </w:r>
            <w:r>
              <w:rPr>
                <w:rFonts w:ascii="Calibri" w:hAnsi="Calibri"/>
                <w:b/>
                <w:i w:val="0"/>
                <w:sz w:val="18"/>
              </w:rPr>
              <w:t>Barlow's published range</w:t>
            </w:r>
          </w:p>
        </w:tc>
        <w:tc>
          <w:tcPr>
            <w:tcW w:type="dxa" w:w="1930"/>
            <w:shd w:val="clear" w:fill="E8E8E8"/>
          </w:tcPr>
          <w:p>
            <w:pPr>
              <w:spacing w:after="20"/>
            </w:pPr>
            <w:r>
              <w:rPr>
                <w:b/>
              </w:rPr>
            </w:r>
            <w:r>
              <w:rPr>
                <w:rFonts w:ascii="Calibri" w:hAnsi="Calibri"/>
                <w:b/>
                <w:i w:val="0"/>
                <w:sz w:val="18"/>
              </w:rPr>
              <w:t>In range?</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 alignment behaved exactly as Barlow's published version does: it tightened the error budget on steep, high-relief windows and correctly added no benefit on the flat valley floor (alignment needs terrain shape to grip onto). Convergence fitness was 0.95 m² mean-squared point distance.</w:t>
      </w:r>
    </w:p>
    <w:p>
      <w:pPr>
        <w:spacing w:after="160"/>
        <w:jc w:val="center"/>
      </w:pPr>
      <w:r>
        <w:rPr>
          <w:rFonts w:ascii="Calibri" w:hAnsi="Calibri"/>
          <w:b w:val="0"/>
          <w:i/>
          <w:color w:val="666666"/>
          <w:sz w:val="18"/>
        </w:rPr>
        <w:t>(b) Per-stream rates (Fig. 3), the masked products O1 consumes.</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How much sediment each of six gauged Taylor Valley streams moved, per year, in each period. Rates are reported per square meter of channel (mm/yr of surface change) rather than as raw m³/yr totals: the surveys do not all cover the same footprint (the 2001 lidar swath is narrower than the satellite coverage), and a per-area rate cannot be inflated simply because one survey saw more ground.</w:t>
      </w:r>
    </w:p>
    <w:p>
      <w:pPr>
        <w:spacing w:after="160"/>
        <w:jc w:val="center"/>
      </w:pPr>
      <w:r>
        <w:rPr>
          <w:rFonts w:ascii="Calibri" w:hAnsi="Calibri"/>
          <w:b w:val="0"/>
          <w:i/>
          <w:color w:val="666666"/>
          <w:sz w:val="18"/>
        </w:rPr>
        <w:t>(c) Robust error model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20"/>
      </w:pPr>
      <w:r>
        <w:rPr>
          <w:rFonts w:ascii="Calibri" w:hAnsi="Calibri"/>
          <w:b w:val="0"/>
          <w:i/>
        </w:rPr>
        <w:t>Figure 4.</w:t>
      </w:r>
      <w:r>
        <w:rPr>
          <w:rFonts w:ascii="Calibri" w:hAnsi="Calibri"/>
          <w:b w:val="0"/>
          <w:i w:val="0"/>
        </w:rPr>
        <w:t xml:space="preserve"> </w:t>
      </w:r>
      <w:r>
        <w:rPr>
          <w:rFonts w:ascii="Calibri" w:hAnsi="Calibri"/>
          <w:b w:val="0"/>
          <w:i/>
        </w:rPr>
        <w:t xml:space="preserve">The measurement noise, profiled on ground that should not have changed at all. The error histogram is sharply peaked with heavy tails (a </w:t>
      </w:r>
      <w:r>
        <w:rPr>
          <w:rFonts w:ascii="Calibri" w:hAnsi="Calibri"/>
          <w:b w:val="0"/>
          <w:i/>
        </w:rPr>
        <w:t>Laplacian</w:t>
      </w:r>
      <w:r>
        <w:rPr>
          <w:rFonts w:ascii="Calibri" w:hAnsi="Calibri"/>
          <w:b w:val="0"/>
          <w:i/>
        </w:rPr>
        <w:t xml:space="preserve"> shape), not the familiar bell curve: a handful of large outliers would wildly inflate a naive standard-deviation-based detection threshold, which is why the outlier-resistant NMAD is used instead. This reproduces Barlow's error-model finding and is the launch point for the proposed per-pixel calibrated-uncertainty layer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The first attribution signal: each stream's sediment-movement rate plotted against how much meltwater it carried (mean gauged discharge; both axes logarithmic; the lake signal from Fig. 2 screened out). In the 2001→2014 period the relationship is strong — correlation </w:t>
      </w:r>
      <w:r>
        <w:rPr>
          <w:rFonts w:ascii="Calibri" w:hAnsi="Calibri"/>
          <w:b w:val="0"/>
          <w:i/>
        </w:rPr>
        <w:t>r = +0.95 (p = 0.004)</w:t>
      </w:r>
      <w:r>
        <w:rPr>
          <w:rFonts w:ascii="Calibri" w:hAnsi="Calibri"/>
          <w:b w:val="0"/>
          <w:i/>
        </w:rPr>
        <w:t xml:space="preserve">, rank correlation </w:t>
      </w:r>
      <w:r>
        <w:rPr>
          <w:rFonts w:ascii="Calibri" w:hAnsi="Calibri"/>
          <w:b w:val="0"/>
          <w:i/>
        </w:rPr>
        <w:t>ρ = +0.94 (p = 0.005)</w:t>
      </w:r>
      <w:r>
        <w:rPr>
          <w:rFonts w:ascii="Calibri" w:hAnsi="Calibri"/>
          <w:b w:val="0"/>
          <w:i/>
        </w:rPr>
        <w:t xml:space="preserve"> — and it survives dropping any single stream, so it is not driven by one outlier. The satellite period shows no coherent relation, but for an instructive reason: after 2015 the stream gauges ran only sporadically (48–362 recorded days per stream), so the water axis itself is unreliable there, and no trend line is fit. That is precisely the motivation for O1: where gauge data are dense the melt–sediment link is strong, so the proposed work replaces patchy gauging with </w:t>
      </w:r>
      <w:r>
        <w:rPr>
          <w:rFonts w:ascii="Calibri" w:hAnsi="Calibri"/>
          <w:b w:val="0"/>
          <w:i/>
        </w:rPr>
        <w:t>modeled melt energy</w:t>
      </w:r>
      <w:r>
        <w:rPr>
          <w:rFonts w:ascii="Calibri" w:hAnsi="Calibri"/>
          <w:b w:val="0"/>
          <w:i/>
        </w:rPr>
        <w:t xml:space="preserve"> (degree-days, sunlight, thaw depth) to extend the analysis across all epochs and valleys.</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directly de-risking </w:t>
      </w:r>
      <w:r>
        <w:rPr>
          <w:rFonts w:ascii="Calibri" w:hAnsi="Calibri"/>
          <w:b w:val="0"/>
          <w:i w:val="0"/>
        </w:rPr>
        <w:t>O2</w:t>
      </w:r>
      <w:r>
        <w:rPr>
          <w:rFonts w:ascii="Calibri" w:hAnsi="Calibri"/>
          <w:b w:val="0"/>
          <w:i w:val="0"/>
        </w:rPr>
        <w:t>, and that the FI already commands the full pipeline end to end.</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xml:space="preserve"> and already in hand (regenerable from source via scripted pipelines), so data availability poses no schedule risk. The single access-gated dependency is Barlow's training labels (mitigated below and in §7).</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Status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the sensor O2 must generalize to</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 scripted; demonstrated (Taylor pilot)</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 (source of the Fig. 5 signal)</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1993-2024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(used in Figs. 3/5) + label stand-in</w:t>
            </w:r>
          </w:p>
        </w:tc>
        <w:tc>
          <w:tcPr>
            <w:tcW w:type="dxa" w:w="2412"/>
          </w:tcPr>
          <w:p>
            <w:pPr>
              <w:spacing w:after="20"/>
            </w:pPr>
            <w:r/>
            <w:r>
              <w:rPr>
                <w:rFonts w:ascii="Calibri" w:hAnsi="Calibri"/>
                <w:b w:val="0"/>
                <w:i w:val="0"/>
                <w:sz w:val="18"/>
              </w:rPr>
              <w:t>✅ in hand</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§7)</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O2 generalization test bed</w:t>
            </w:r>
          </w:p>
        </w:tc>
        <w:tc>
          <w:tcPr>
            <w:tcW w:type="dxa" w:w="2412"/>
          </w:tcPr>
          <w:p>
            <w:pPr>
              <w:spacing w:after="20"/>
            </w:pPr>
            <w:r/>
            <w:r>
              <w:rPr>
                <w:rFonts w:ascii="Calibri" w:hAnsi="Calibri"/>
                <w:b w:val="0"/>
                <w:i w:val="0"/>
                <w:sz w:val="18"/>
              </w:rPr>
              <w:t>✅ DEMs in hand; per-valley stacks to build</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7.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Full driver harmonization (PDD/insolation/active-layer series per gauged stream); O1 attribution model on Taylor Valley (extending the Fig. 5 signal);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Cross-sensor domain-shift correction + segmenter generalization across all four valleys (O2); apply attribution model basin-wide;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LTER centerlines already work as a QC stand-in (Fig. 2–3 built on them);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Figures generated by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Antarctic Stream-Channel Change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