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 [4]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t>It spans three of the Division’s research spheres: the Cryosphere (polar glaciers and their meltwater), the Hydrosphere (water moving through the stream network), and the Geosphere (surface-topography change)</w:t>
      </w:r>
      <w:r>
        <w:t xml:space="preserve">, all of which address cold-region surface change and meltwater.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NISAR's left-looking, 12-day L-band coverage includes the Dry Valleys [7]; it maps surface deformation and coherence change rather than elevation, so it is a possible independent flag of melt-season bank disturbance, not an elevation source. 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Candidate controls fall into two groups. Climate forcing — air temperature, incoming sunlight, meltwater discharge, glacial mass balance, and summer thaw — comes from the McMurdo Dry Valleys LTER network [8], with ERA5 [9] and AMPS reanalysis filling coverage gaps. Substrate susceptibility — microclimate zone, mapped permafrost and ground-ice class, and bed material — comes from published MDV mapping [10], [11]. We hypothesize that, after controlling for substrate, melt energy will predict channel change better than water volume alone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and ground-ice class,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t xml:space="preserve">REMA, the only satellite elevation record past 2014, is tricky to combine with </w:t>
      </w:r>
      <w:r>
        <w:t>lidar</w:t>
      </w:r>
      <w: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t xml:space="preserve">Build a driver history for every stream, gauged or not. ERA5 and AMPS reanalysis supply temperature and radiation for every basin; per-basin insolation is computed directly from the project DEMs, with terrain shading; substrate covariates come from published maps and require no field records. The 21 LTER gauge records then calibrate an insolation-to-discharge regression — measured discharge against summer insolation on each gauged stream's source glacier — that estimates discharge for the ungauged streams and for the thin record after 2015. LTER data calibrate and validate the driver set;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 with substrate covariates) and a random forest, ranking variable importance across the full forcing-plus-substrate set.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t>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(Objective 1,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rFonts w:ascii="Times New Roman" w:hAnsi="Times New Roman"/>
        </w:rPr>
        <w:t xml:space="preserve">All inputs are public and cited to source; all derived products and processing code</w:t>
      </w:r>
      <w:r w:rsidR="004E4A10">
        <w:rPr>
          <w:rFonts w:ascii="Times New Roman" w:hAnsi="Times New Roman"/>
        </w:rPr>
        <w:t xml:space="preserve"/>
      </w:r>
      <w:r>
        <w:rPr>
          <w:rFonts w:ascii="Times New Roman" w:hAnsi="Times New Roman"/>
        </w:rPr>
        <w:t xml:space="preserve"> will be released open-access with DOIs (Zenodo / EDI), with formats, archives, and metadata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rFonts w:ascii="Times New Roman" w:hAnsi="Times New Roman"/>
        </w:rPr>
        <w:t xml:space="preserve">[7] </w:t>
      </w:r>
      <w:r>
        <w:rPr>
          <w:rFonts w:ascii="Times New Roman" w:hAnsi="Times New Roman"/>
          <w:i/>
        </w:rPr>
        <w:t xml:space="preserve">NASA-ISRO SAR (NISAR) Mission Science Users' Handbook</w:t>
      </w:r>
      <w:r>
        <w:rPr>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rFonts w:ascii="Times New Roman" w:hAnsi="Times New Roman"/>
        </w:rPr>
        <w:t xml:space="preserve">[10] Fountain, A. G., Levy, J. S., Gooseff, M. N., &amp; Van Horn, D. (2014). The McMurdo Dry Valleys: A landscape on the threshold of change. </w:t>
      </w:r>
      <w:r>
        <w:rPr>
          <w:rFonts w:ascii="Times New Roman" w:hAnsi="Times New Roman"/>
          <w:i/>
        </w:rPr>
        <w:t xml:space="preserve">Geomorphology</w:t>
      </w:r>
      <w:r>
        <w:rPr>
          <w:rFonts w:ascii="Times New Roman" w:hAnsi="Times New Roman"/>
        </w:rPr>
        <w:t xml:space="preserve"> 225:25–35.</w:t>
      </w:r>
    </w:p>
    <w:p w14:paraId="4BAC2EDF" w14:textId="77777777" w:rsidR="003146FF" w:rsidRDefault="003146FF" w:rsidP="003146FF">
      <w:r>
        <w:rPr>
          <w:rFonts w:ascii="Times New Roman" w:hAnsi="Times New Roman"/>
        </w:rPr>
        <w:t xml:space="preserve">[11] Bockheim, J. G., Campbell, I. B., &amp; McLeod, M. (2007). Permafrost distribution and active-layer depths in the McMurdo Dry Valleys, Antarctica. </w:t>
      </w:r>
      <w:r>
        <w:rPr>
          <w:rFonts w:ascii="Times New Roman" w:hAnsi="Times New Roman"/>
          <w:i/>
        </w:rPr>
        <w:t xml:space="preserve">Permafrost and Periglacial Processes</w:t>
      </w:r>
      <w:r>
        <w:rPr>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