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14:paraId="761073F2" w14:textId="18ED8A43" w:rsidR="00887D0E" w:rsidRDefault="002963AF">
      <w:pPr>
        <w:jc w:val="center"/>
      </w:pPr>
      <w:r>
        <w:rPr>
          <w:i/>
          <w:color w:val="404040"/>
          <w:sz w:val="18"/>
        </w:rPr>
        <w:t xml:space="preserve">Figure 1. Study area. (A) The McMurdo Dry Valleys within Antarctica (coastline: Natural Earth). (B) Hillshade of the study-area lidar DEM (1 m), showing the incised valley-floor channels this project measures;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rsidR="00BC2DC4">
        <w:t xml:space="preserve">ML methodology </w:t>
      </w:r>
      <w:r>
        <w:t xml:space="preserve">that finds stream channels </w:t>
      </w:r>
      <w:r w:rsidR="00BC2DC4">
        <w:t>using high 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Initial verification that repeat acquisition and valley 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The Open Question</w:t>
      </w:r>
    </w:p>
    <w:p w14:paraId="4575E454" w14:textId="6FFA632B" w:rsidR="00627337" w:rsidRDefault="00627337" w:rsidP="00627337">
      <w:pPr>
        <w:rPr>
          <w:b/>
        </w:rPr>
      </w:pPr>
      <w:r>
        <w:t>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r w:rsidR="003131C9"/>
      <w:r/>
      <w:r w:rsidR="003131C9"/>
      <w:r/>
      <w:r w:rsidR="003131C9"/>
      <w:r w:rsidR="003131C9"/>
      <w:r/>
      <w:r w:rsidR="003131C9"/>
      <w:r/>
      <w:commentRangeStart w:id="57"/>
      <w:r/>
      <w:commentRangeEnd w:id="57"/>
      <w:r w:rsidR="003131C9">
        <w:rPr>
          <w:rStyle w:val="CommentReference"/>
          <w:b/>
          <w:sz w:val="22"/>
          <w:szCs w:val="22"/>
        </w:rPr>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The 2001 baseline is NASA data — an airborne LiDAR swath never fully exploited for surface change – reference for this as well [8]. The project turns the airborne lidar, REMA satellite DEMs (corrected and controlled by airborne lidar and ICESat-2 observations) and reanalysis,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 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Attribution. Determination of  which climate drivers control each stream's rate of geomorphic change. Candidate drivers — drawn from MDV-LTER station records [6] and the ERA5 reanalysis [7] — are air temperature, incoming sunlight, meltwater discharge, glacial mass balance, and summer thaw. We hypothesize that melt energy will predict sediment movement better than water volume alone. The hypothesis is testable: if discharge alone correlates with channel migration rate then the hypothesis fails.</w:t>
      </w:r>
      <w:r w:rsidR="00B06385"/>
      <w:r/>
      <w:commentRangeStart w:id="80"/>
      <w:r/>
      <w:r w:rsidR="00B06385"/>
      <w:r/>
      <w:commentRangeEnd w:id="80"/>
      <w:r w:rsidR="00B06385">
        <w:rPr>
          <w:rStyle w:val="CommentReference"/>
          <w:sz w:val="22"/>
          <w:szCs w:val="22"/>
        </w:rPr>
      </w:r>
      <w:r/>
      <w:r w:rsidR="00B06385"/>
      <w:r/>
      <w:r w:rsidR="00B06385"/>
      <w:r/>
      <w:r w:rsidR="00B06385"/>
      <w:r/>
      <w:r w:rsidR="00B06385"/>
      <w:r w:rsidR="00B06385"/>
      <w:r w:rsidR="00B06385"/>
      <w:r/>
    </w:p>
    <w:p w14:paraId="5C32D6E3" w14:textId="77777777" w:rsidR="006A5D79" w:rsidRDefault="005E16C2" w:rsidP="006A5D79">
      <w:pPr>
        <w:pStyle w:val="ListParagraph"/>
        <w:numPr>
          <w:ilvl w:val="0"/>
          <w:numId w:val="3"/>
        </w:numPr>
      </w:pPr>
      <w:commentRangeStart w:id="92"/>
      <w:r>
        <w:t>Process attribution along the stream corridor. Beyond the channel centerline, classify change in the near-channel corridor — channel shift and avulsion, bank thaw and subsidence, and fan growth — by process type. Bedrock and stable soils outside the corridor provide the fixed control needed to co-register the sensors, so every change is measured against genuinely stable ground.</w:t>
      </w:r>
      <w:commentRangeEnd w:id="92"/>
      <w:r w:rsidR="00B06385">
        <w:rPr>
          <w:rStyle w:val="CommentReference"/>
          <w:sz w:val="22"/>
          <w:szCs w:val="22"/>
        </w:rPr>
      </w:r>
    </w:p>
    <w:p w14:paraId="256AAFA3" w14:textId="77777777" w:rsidR="005E16C2" w:rsidRDefault="005E16C2" w:rsidP="005E16C2">
      <w:pPr>
        <w:ind w:left="720"/>
      </w:pPr>
      <w:r>
        <w:lastRenderedPageBreak/>
        <w:t>The satellite record past 2014 exists only on the free REMA DEM, whose elevations are tricky to combine with LiDAR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Provide a per-pixel detection threshold for slope, aspect, and sensor, in place of a single valley-wide noise value. Success test: on ground that did not change, a 95% confidence threshold should be exceeded by 5% of pixels.</w:t>
      </w:r>
      <w:commentRangeEnd w:id="93"/>
      <w:r w:rsidR="00B06385">
        <w:rPr>
          <w:rStyle w:val="CommentReference"/>
          <w:sz w:val="22"/>
          <w:szCs w:val="22"/>
        </w:rPr>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5486400" cy="3830432"/>
                    </a:xfrm>
                    <a:prstGeom prst="rect">
                      <a:avLst/>
                    </a:prstGeom>
                  </pic:spPr>
                </pic:pic>
              </a:graphicData>
            </a:graphic>
          </wp:inline>
        </w:drawing>
      </w:r>
    </w:p>
    <w:p w14:paraId="4DEB5F14" w14:textId="77777777" w:rsidR="00887D0E" w:rsidRDefault="002963AF">
      <w:pPr>
        <w:jc w:val="center"/>
      </w:pPr>
      <w:commentRangeStart w:id="94"/>
      <w:r>
        <w:rPr>
          <w:i/>
          <w:color w:val="404040"/>
          <w:sz w:val="18"/>
        </w:rPr>
        <w:t>Figure 2. Planned detection-to-attribution workflow: three DEM epochs, co-registration to airborne-lidar and ICESat-2 control, DEM-of-Difference, per-pixel detection floor, then the O1 (channel), O2 (stream-corridor), and O3 (uncertainty) objectives. Method schematic; no results shown.</w:t>
      </w:r>
      <w:commentRangeEnd w:id="94"/>
      <w:r w:rsidR="00B06385">
        <w:rPr>
          <w:rStyle w:val="CommentReference"/>
          <w:i/>
          <w:color w:val="404040"/>
          <w:sz w:val="18"/>
          <w:szCs w:val="22"/>
        </w:rPr>
      </w:r>
      <w:r>
        <w:rPr>
          <w:i/>
          <w:color w:val="404040"/>
          <w:sz w:val="18"/>
        </w:rPr>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Objective 1 tests whether melt energy predicts channel change better than water volume alone. To test it, I measure each gauged stream's change rate: co-register the two elevation epochs (removing the median vertical offset over stable ground, with an optional ICP refinement), resample to a shared grid, difference them, keep only pixels whose change clears the detection floor (the per-pixel LOD95 threshold from objective 3), and integrate that change inside the channel outline, normalized by channel area and years elapsed to a rate in mm/yr.</w:t>
      </w:r>
    </w:p>
    <w:p w14:paraId="40B67952" w14:textId="77777777" w:rsidR="00EE4652" w:rsidRDefault="00EE4652" w:rsidP="00EE4652">
      <w:pPr>
        <w:pStyle w:val="ListParagraph"/>
        <w:numPr>
          <w:ilvl w:val="0"/>
          <w:numId w:val="5"/>
        </w:numPr>
      </w:pPr>
      <w:r>
        <w:t>Build each stream's driver history from MDV-LTER station records, filling coverage gaps with the ERA5 and AMPS weather models.</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so change is measured against genuinely stable ground.</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14:paraId="42234071" w14:textId="77777777" w:rsidR="000000FA" w:rsidRDefault="000000FA" w:rsidP="000000FA">
      <w:r>
        <w:rPr>
          <w:b/>
          <w:sz w:val="24"/>
        </w:rPr>
        <w:t>Objective 3</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commentRangeEnd w:id="95"/>
      <w:r w:rsidR="00B06385">
        <w:rPr>
          <w:rStyle w:val="CommentReference"/>
          <w:sz w:val="22"/>
          <w:szCs w:val="22"/>
        </w:rPr>
        <w:commentReference w:id="95"/>
      </w:r>
    </w:p>
    <w:p w14:paraId="08C231B4" w14:textId="77777777"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Calibri" w:hAnsi="Calibri"/>
                <w:b/>
                <w:sz w:val="18"/>
              </w:rPr>
              <w:t>Need</w:t>
            </w:r>
          </w:p>
        </w:tc>
        <w:tc>
          <w:tcPr>
            <w:tcW w:w="3216" w:type="dxa"/>
            <w:shd w:val="clear" w:color="auto" w:fill="E8E8E8"/>
          </w:tcPr>
          <w:p w14:paraId="244F84D4" w14:textId="77777777" w:rsidR="003A210A" w:rsidRDefault="003A210A" w:rsidP="00FE7746">
            <w:pPr>
              <w:spacing w:after="20"/>
            </w:pPr>
            <w:r>
              <w:rPr>
                <w:rFonts w:ascii="Calibri" w:hAnsi="Calibri"/>
                <w:b/>
                <w:sz w:val="18"/>
              </w:rPr>
              <w:t>Source</w:t>
            </w:r>
          </w:p>
        </w:tc>
        <w:tc>
          <w:tcPr>
            <w:tcW w:w="3216" w:type="dxa"/>
            <w:shd w:val="clear" w:color="auto" w:fill="E8E8E8"/>
          </w:tcPr>
          <w:p w14:paraId="19A7782F" w14:textId="77777777" w:rsidR="003A210A" w:rsidRDefault="003A210A" w:rsidP="00FE7746">
            <w:pPr>
              <w:spacing w:after="20"/>
            </w:pPr>
            <w:r>
              <w:rPr>
                <w:rFonts w:ascii="Calibri" w:hAnsi="Calibri"/>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Calibri" w:hAnsi="Calibri"/>
                <w:sz w:val="18"/>
              </w:rPr>
              <w:t>2001 airborne lidar DEM (2 m)</w:t>
            </w:r>
          </w:p>
        </w:tc>
        <w:tc>
          <w:tcPr>
            <w:tcW w:w="3216" w:type="dxa"/>
          </w:tcPr>
          <w:p w14:paraId="798FA9B0" w14:textId="77777777" w:rsidR="003A210A" w:rsidRDefault="003A210A" w:rsidP="00FE7746">
            <w:pPr>
              <w:spacing w:after="20"/>
            </w:pPr>
            <w:r>
              <w:rPr>
                <w:rFonts w:ascii="Calibri" w:hAnsi="Calibri"/>
                <w:sz w:val="18"/>
              </w:rPr>
              <w:t>NASA ATM via USGS ScienceBase</w:t>
            </w:r>
          </w:p>
        </w:tc>
        <w:tc>
          <w:tcPr>
            <w:tcW w:w="3216" w:type="dxa"/>
          </w:tcPr>
          <w:p w14:paraId="176DD122" w14:textId="77777777" w:rsidR="003A210A" w:rsidRDefault="003A210A" w:rsidP="00FE7746">
            <w:pPr>
              <w:spacing w:after="20"/>
            </w:pPr>
            <w:r>
              <w:rPr>
                <w:rFonts w:ascii="Calibri" w:hAnsi="Calibri"/>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Calibri" w:hAnsi="Calibri"/>
                <w:sz w:val="18"/>
              </w:rPr>
              <w:t>2014 airborne lidar DEM (1 m) + point cloud</w:t>
            </w:r>
          </w:p>
        </w:tc>
        <w:tc>
          <w:tcPr>
            <w:tcW w:w="3216" w:type="dxa"/>
          </w:tcPr>
          <w:p w14:paraId="37FABFA3" w14:textId="77777777" w:rsidR="003A210A" w:rsidRDefault="003A210A" w:rsidP="00FE7746">
            <w:pPr>
              <w:spacing w:after="20"/>
            </w:pPr>
            <w:r>
              <w:rPr>
                <w:rFonts w:ascii="Calibri" w:hAnsi="Calibri"/>
                <w:sz w:val="18"/>
              </w:rPr>
              <w:t>NCALM via OpenTopography</w:t>
            </w:r>
          </w:p>
        </w:tc>
        <w:tc>
          <w:tcPr>
            <w:tcW w:w="3216" w:type="dxa"/>
          </w:tcPr>
          <w:p w14:paraId="2996A868" w14:textId="77777777" w:rsidR="003A210A" w:rsidRDefault="003A210A" w:rsidP="00FE7746">
            <w:pPr>
              <w:spacing w:after="20"/>
            </w:pPr>
            <w:r>
              <w:rPr>
                <w:rFonts w:ascii="Calibri" w:hAnsi="Calibri"/>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Calibri" w:hAnsi="Calibri"/>
                <w:sz w:val="18"/>
              </w:rPr>
              <w:t>REMA satellite DEM (2 m, 2021–23)</w:t>
            </w:r>
          </w:p>
        </w:tc>
        <w:tc>
          <w:tcPr>
            <w:tcW w:w="3216" w:type="dxa"/>
          </w:tcPr>
          <w:p w14:paraId="63F49969" w14:textId="77777777" w:rsidR="003A210A" w:rsidRDefault="003A210A" w:rsidP="00FE7746">
            <w:pPr>
              <w:spacing w:after="20"/>
            </w:pPr>
            <w:r>
              <w:rPr>
                <w:rFonts w:ascii="Calibri" w:hAnsi="Calibri"/>
                <w:sz w:val="18"/>
              </w:rPr>
              <w:t>Polar Geospatial Center / AWS</w:t>
            </w:r>
          </w:p>
        </w:tc>
        <w:tc>
          <w:tcPr>
            <w:tcW w:w="3216" w:type="dxa"/>
          </w:tcPr>
          <w:p w14:paraId="39AE4403" w14:textId="77777777" w:rsidR="003A210A" w:rsidRDefault="003A210A" w:rsidP="00FE7746">
            <w:pPr>
              <w:spacing w:after="20"/>
            </w:pPr>
            <w:r>
              <w:rPr>
                <w:rFonts w:ascii="Calibri" w:hAnsi="Calibri"/>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Calibri" w:hAnsi="Calibri"/>
                <w:sz w:val="18"/>
              </w:rPr>
              <w:t>Stream discharge, 21 gauges (daily)</w:t>
            </w:r>
          </w:p>
        </w:tc>
        <w:tc>
          <w:tcPr>
            <w:tcW w:w="3216" w:type="dxa"/>
          </w:tcPr>
          <w:p w14:paraId="136D9653" w14:textId="77777777" w:rsidR="003A210A" w:rsidRDefault="003A210A" w:rsidP="00FE7746">
            <w:pPr>
              <w:spacing w:after="20"/>
            </w:pPr>
            <w:r>
              <w:rPr>
                <w:rFonts w:ascii="Calibri" w:hAnsi="Calibri"/>
                <w:sz w:val="18"/>
              </w:rPr>
              <w:t>MCM-LTER via EDI</w:t>
            </w:r>
          </w:p>
        </w:tc>
        <w:tc>
          <w:tcPr>
            <w:tcW w:w="3216" w:type="dxa"/>
          </w:tcPr>
          <w:p w14:paraId="6E2CA78C" w14:textId="77777777" w:rsidR="003A210A" w:rsidRDefault="003A210A" w:rsidP="00FE7746">
            <w:pPr>
              <w:spacing w:after="20"/>
            </w:pPr>
            <w:r>
              <w:rPr>
                <w:rFonts w:ascii="Calibri" w:hAnsi="Calibri"/>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Calibri" w:hAnsi="Calibri"/>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Calibri" w:hAnsi="Calibri"/>
                <w:sz w:val="18"/>
              </w:rPr>
              <w:t>MCM-LTER via EDI</w:t>
            </w:r>
          </w:p>
        </w:tc>
        <w:tc>
          <w:tcPr>
            <w:tcW w:w="3216" w:type="dxa"/>
          </w:tcPr>
          <w:p w14:paraId="1E54EA2F" w14:textId="77777777" w:rsidR="003A210A" w:rsidRDefault="003A210A" w:rsidP="00FE7746">
            <w:pPr>
              <w:spacing w:after="20"/>
            </w:pPr>
            <w:r>
              <w:rPr>
                <w:rFonts w:ascii="Calibri" w:hAnsi="Calibri"/>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Calibri" w:hAnsi="Calibri"/>
                <w:sz w:val="18"/>
              </w:rPr>
              <w:t>ERA5 reanalysis; AMPS Antarctic weather model</w:t>
            </w:r>
          </w:p>
        </w:tc>
        <w:tc>
          <w:tcPr>
            <w:tcW w:w="3216" w:type="dxa"/>
          </w:tcPr>
          <w:p w14:paraId="3536BE72" w14:textId="77777777" w:rsidR="003A210A" w:rsidRDefault="003A210A" w:rsidP="00FE7746">
            <w:pPr>
              <w:spacing w:after="20"/>
            </w:pPr>
            <w:r>
              <w:rPr>
                <w:rFonts w:ascii="Calibri" w:hAnsi="Calibri"/>
                <w:sz w:val="18"/>
              </w:rPr>
              <w:t>Copernicus CDS; NCAR GDEX</w:t>
            </w:r>
          </w:p>
        </w:tc>
        <w:tc>
          <w:tcPr>
            <w:tcW w:w="3216" w:type="dxa"/>
          </w:tcPr>
          <w:p w14:paraId="1034ECDD" w14:textId="77777777" w:rsidR="003A210A" w:rsidRDefault="003A210A" w:rsidP="00FE7746">
            <w:pPr>
              <w:spacing w:after="20"/>
            </w:pPr>
            <w:r>
              <w:rPr>
                <w:rFonts w:ascii="Calibri" w:hAnsi="Calibri"/>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Calibri" w:hAnsi="Calibri"/>
                <w:sz w:val="18"/>
              </w:rPr>
              <w:t>Stream channel outlines (labels)</w:t>
            </w:r>
          </w:p>
        </w:tc>
        <w:tc>
          <w:tcPr>
            <w:tcW w:w="3216" w:type="dxa"/>
          </w:tcPr>
          <w:p w14:paraId="4600B729" w14:textId="77777777" w:rsidR="003A210A" w:rsidRDefault="003A210A" w:rsidP="00FE7746">
            <w:pPr>
              <w:spacing w:after="20"/>
            </w:pPr>
            <w:r>
              <w:rPr>
                <w:rFonts w:ascii="Calibri" w:hAnsi="Calibri"/>
                <w:sz w:val="18"/>
              </w:rPr>
              <w:t>MCM-LTER via EDI</w:t>
            </w:r>
          </w:p>
        </w:tc>
        <w:tc>
          <w:tcPr>
            <w:tcW w:w="3216" w:type="dxa"/>
          </w:tcPr>
          <w:p w14:paraId="247F7670" w14:textId="77777777" w:rsidR="003A210A" w:rsidRDefault="003A210A" w:rsidP="00FE7746">
            <w:pPr>
              <w:spacing w:after="20"/>
            </w:pPr>
            <w:r>
              <w:rPr>
                <w:rFonts w:ascii="Calibri" w:hAnsi="Calibri"/>
                <w:sz w:val="18"/>
              </w:rPr>
              <w:t>public, free</w:t>
            </w:r>
            <w:commentRangeEnd w:id="96"/>
            <w:r w:rsidR="00B06385">
              <w:rPr>
                <w:rStyle w:val="CommentReference"/>
                <w:sz w:val="22"/>
                <w:szCs w:val="22"/>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Calibri" w:hAnsi="Calibri"/>
                <w:sz w:val="18"/>
              </w:rPr>
              <w:t>The prior dissertation's hand-digitized training tiles</w:t>
            </w:r>
          </w:p>
        </w:tc>
        <w:tc>
          <w:tcPr>
            <w:tcW w:w="3216" w:type="dxa"/>
          </w:tcPr>
          <w:p w14:paraId="389BB35A" w14:textId="77777777" w:rsidR="003A210A" w:rsidRDefault="003A210A" w:rsidP="00FE7746">
            <w:pPr>
              <w:spacing w:after="20"/>
            </w:pPr>
            <w:r>
              <w:rPr>
                <w:rFonts w:ascii="Calibri" w:hAnsi="Calibri"/>
                <w:sz w:val="18"/>
              </w:rPr>
              <w:t>dissertation author</w:t>
            </w:r>
          </w:p>
        </w:tc>
        <w:tc>
          <w:tcPr>
            <w:tcW w:w="3216" w:type="dxa"/>
          </w:tcPr>
          <w:p w14:paraId="483C50F2" w14:textId="77777777" w:rsidR="003A210A" w:rsidRDefault="003A210A" w:rsidP="00FE7746">
            <w:pPr>
              <w:spacing w:after="20"/>
            </w:pPr>
            <w:r>
              <w:rPr>
                <w:rFonts w:ascii="Calibri" w:hAnsi="Calibri"/>
                <w:sz w:val="18"/>
              </w:rPr>
              <w:t>acquired directly from the author</w:t>
            </w:r>
          </w:p>
        </w:tc>
      </w:tr>
      <w:tr>
        <w:tc>
          <w:tcPr>
            <w:tcW w:type="dxa" w:w="3114"/>
          </w:tcPr>
          <w:p>
            <w:r>
              <w:t>ICESat-2 elevation (external control)</w:t>
            </w:r>
          </w:p>
        </w:tc>
        <w:tc>
          <w:tcPr>
            <w:tcW w:type="dxa" w:w="3129"/>
          </w:tcPr>
          <w:p>
            <w:r>
              <w:t>NASA NSIDC DAAC</w:t>
            </w:r>
          </w:p>
        </w:tc>
        <w:tc>
          <w:tcPr>
            <w:tcW w:type="dxa" w:w="3107"/>
          </w:tcPr>
          <w:p>
            <w:r>
              <w:t>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and the elevation processing is CPU-bound and modest. Free access to the host institution's high-performance computing cluster is available for any heavier batch processing, though the project does not depend on it. Raster stacks reach tens of gigabytes and need only local storage.</w:t>
      </w:r>
      <w:commentRangeEnd w:id="97"/>
      <w:r w:rsidR="00335823">
        <w:rPr>
          <w:rStyle w:val="CommentReference"/>
          <w:sz w:val="22"/>
          <w:szCs w:val="22"/>
        </w:rPr>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Dissemination</w:t>
      </w:r>
    </w:p>
    <w:p w14:paraId="5DCC9297" w14:textId="77777777" w:rsidR="00D830E3" w:rsidRDefault="00D830E3" w:rsidP="000000FA">
      <w:commentRangeStart w:id="98"/>
      <w:r>
        <w:t>Results will reach the cryosphere community through presentations at AGU and polar-science meetings and through open-access publications and archived data products with DOIs. Because the analysis relies only on public data, it can proceed independently.</w:t>
      </w:r>
      <w:commentRangeEnd w:id="98"/>
      <w:r w:rsidR="00335823">
        <w:rPr>
          <w:rStyle w:val="CommentReference"/>
          <w:sz w:val="22"/>
          <w:szCs w:val="22"/>
        </w:rPr>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Outside the channels, change may be too small to detect. The valley floors change slowly, so much of the surface may sit below our detection threshold. If so, objective 2 stays tight to the channel and its immediate margins, and results are reported at that scope.</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Calibri" w:hAnsi="Calibri"/>
                <w:b/>
                <w:sz w:val="18"/>
              </w:rPr>
              <w:t>Period</w:t>
            </w:r>
          </w:p>
        </w:tc>
        <w:tc>
          <w:tcPr>
            <w:tcW w:w="3216" w:type="dxa"/>
            <w:shd w:val="clear" w:color="auto" w:fill="E8E8E8"/>
          </w:tcPr>
          <w:p w14:paraId="4FC21CD6" w14:textId="77777777" w:rsidR="003146FF" w:rsidRDefault="003146FF" w:rsidP="00FE7746">
            <w:pPr>
              <w:spacing w:after="20"/>
            </w:pPr>
            <w:r>
              <w:rPr>
                <w:rFonts w:ascii="Calibri" w:hAnsi="Calibri"/>
                <w:b/>
                <w:sz w:val="18"/>
              </w:rPr>
              <w:t>Work</w:t>
            </w:r>
          </w:p>
        </w:tc>
        <w:tc>
          <w:tcPr>
            <w:tcW w:w="3216" w:type="dxa"/>
            <w:shd w:val="clear" w:color="auto" w:fill="E8E8E8"/>
          </w:tcPr>
          <w:p w14:paraId="64D9285D" w14:textId="77777777" w:rsidR="003146FF" w:rsidRDefault="003146FF" w:rsidP="00FE7746">
            <w:pPr>
              <w:spacing w:after="20"/>
            </w:pPr>
            <w:r>
              <w:rPr>
                <w:rFonts w:ascii="Calibri" w:hAnsi="Calibri"/>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Calibri" w:hAnsi="Calibri"/>
                <w:sz w:val="18"/>
              </w:rPr>
              <w:t>Stage  1</w:t>
            </w:r>
          </w:p>
        </w:tc>
        <w:tc>
          <w:tcPr>
            <w:tcW w:w="3216" w:type="dxa"/>
          </w:tcPr>
          <w:p w14:paraId="376C4701" w14:textId="77777777"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Calibri" w:hAnsi="Calibri"/>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Calibri" w:hAnsi="Calibri"/>
                <w:sz w:val="18"/>
              </w:rPr>
              <w:t>Stage 2</w:t>
            </w:r>
          </w:p>
        </w:tc>
        <w:tc>
          <w:tcPr>
            <w:tcW w:w="3216" w:type="dxa"/>
          </w:tcPr>
          <w:p w14:paraId="79DE3DC5" w14:textId="77777777" w:rsidR="003146FF" w:rsidRDefault="003146FF" w:rsidP="00FE7746">
            <w:pPr>
              <w:spacing w:after="20"/>
            </w:pPr>
            <w:r>
              <w:rPr>
                <w:rFonts w:ascii="Calibri" w:hAnsi="Calibri"/>
                <w:sz w:val="18"/>
              </w:rPr>
              <w:t>Stream-corridor process attribution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Calibri" w:hAnsi="Calibri"/>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Calibri" w:hAnsi="Calibri"/>
                <w:sz w:val="18"/>
              </w:rPr>
              <w:t>Stage 3</w:t>
            </w:r>
          </w:p>
        </w:tc>
        <w:tc>
          <w:tcPr>
            <w:tcW w:w="3216" w:type="dxa"/>
          </w:tcPr>
          <w:p w14:paraId="3BF807C1" w14:textId="77777777"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Calibri" w:hAnsi="Calibri"/>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Calibri" w:hAnsi="Calibri"/>
          <w:sz w:val="28"/>
        </w:rPr>
      </w:pPr>
      <w:r w:rsidRPr="002963AF">
        <w:rPr>
          <w:rFonts w:ascii="Calibri" w:hAnsi="Calibri"/>
          <w:b/>
          <w:sz w:val="32"/>
        </w:rPr>
        <w:t>References</w:t>
      </w:r>
    </w:p>
    <w:p w14:paraId="4CB80BDE" w14:textId="77777777" w:rsidR="003146FF" w:rsidRDefault="003146FF" w:rsidP="003146FF">
      <w:pPr>
        <w:spacing w:after="120"/>
      </w:pPr>
      <w:r>
        <w:rPr>
          <w:rFonts w:ascii="Calibri" w:hAnsi="Calibri"/>
        </w:rPr>
        <w:t>[1] Barlow, M. C. (2026). A Comprehensive Spatial Analysis of Stream Boundary and Geomorphological Change Detection: McMurdo Dry Valleys, Antarctica. PhD Dissertation.</w:t>
      </w:r>
      <w:r>
        <w:rPr>
          <w:rFonts w:ascii="Calibri" w:hAnsi="Calibri"/>
          <w:i/>
        </w:rPr>
      </w:r>
      <w:r>
        <w:rPr>
          <w:rFonts w:ascii="Calibri" w:hAnsi="Calibri"/>
        </w:rPr>
      </w:r>
    </w:p>
    <w:p w14:paraId="4BAC2EDF" w14:textId="77777777"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14:paraId="278EF815" w14:textId="77777777" w:rsidR="003146FF" w:rsidRDefault="003146FF" w:rsidP="003146FF">
      <w:pPr>
        <w:spacing w:after="120"/>
      </w:pPr>
      <w:r>
        <w:rPr>
          <w:rFonts w:ascii="Calibri" w:hAnsi="Calibri"/>
        </w:rPr>
        <w:t xml:space="preserve">[3] Höhle, J., &amp; Höhle, M. (2009). Accuracy assessment of digital elevation models by means of robust statistical methods. </w:t>
      </w:r>
      <w:r>
        <w:rPr>
          <w:rFonts w:ascii="Calibri" w:hAnsi="Calibri"/>
          <w:i/>
        </w:rPr>
        <w:t>ISPRS J. Photogramm. Remote Sens.</w:t>
      </w:r>
      <w:r>
        <w:rPr>
          <w:rFonts w:ascii="Calibri" w:hAnsi="Calibri"/>
        </w:rPr>
        <w:t xml:space="preserve"> 64(4):398–406.</w:t>
      </w:r>
    </w:p>
    <w:p w14:paraId="32CFF3A7" w14:textId="77777777" w:rsidR="003146FF" w:rsidRDefault="003146FF" w:rsidP="003146FF">
      <w:pPr>
        <w:spacing w:after="120"/>
      </w:pPr>
      <w:r>
        <w:rPr>
          <w:rFonts w:ascii="Calibri" w:hAnsi="Calibri"/>
        </w:rPr>
        <w:lastRenderedPageBreak/>
        <w:t xml:space="preserve">[4] Howat, I. M., et al. (2019). The Reference Elevation Model of Antarctica (REMA). </w:t>
      </w:r>
      <w:r>
        <w:rPr>
          <w:rFonts w:ascii="Calibri" w:hAnsi="Calibri"/>
          <w:i/>
        </w:rPr>
        <w:t>The Cryosphere</w:t>
      </w:r>
      <w:r>
        <w:rPr>
          <w:rFonts w:ascii="Calibri" w:hAnsi="Calibri"/>
        </w:rPr>
        <w:t xml:space="preserve"> 13:665–674.</w:t>
      </w:r>
    </w:p>
    <w:p w14:paraId="6EC32615" w14:textId="77777777" w:rsidR="003146FF" w:rsidRDefault="003146FF" w:rsidP="003146FF">
      <w:pPr>
        <w:spacing w:after="120"/>
      </w:pPr>
      <w:r>
        <w:rPr>
          <w:rFonts w:ascii="Calibri" w:hAnsi="Calibri"/>
        </w:rPr>
        <w:t xml:space="preserve">[5] Ronneberger, O., Fischer, P., &amp; Brox, T. (2015). U-Net: Convolutional Networks for Biomedical Image Segmentation. </w:t>
      </w:r>
      <w:r>
        <w:rPr>
          <w:rFonts w:ascii="Calibri" w:hAnsi="Calibri"/>
          <w:i/>
        </w:rPr>
        <w:t>MICCAI</w:t>
      </w:r>
      <w:r>
        <w:rPr>
          <w:rFonts w:ascii="Calibri" w:hAnsi="Calibri"/>
        </w:rPr>
        <w:t xml:space="preserve"> 234–241.</w:t>
      </w:r>
    </w:p>
    <w:p w14:paraId="4F98DA5B" w14:textId="77777777" w:rsidR="003146FF" w:rsidRDefault="003146FF" w:rsidP="003146FF">
      <w:pPr>
        <w:spacing w:after="120"/>
      </w:pPr>
      <w:r>
        <w:rPr>
          <w:rFonts w:ascii="Calibri" w:hAnsi="Calibri"/>
        </w:rPr>
        <w:t xml:space="preserve">[6] McMurdo Dry Valleys LTER. Stream, meteorology, glacier, and soil datasets. Environmental Data Initiative (EDI), </w:t>
      </w:r>
      <w:r>
        <w:t>knb-lter-mcm.*</w:t>
      </w:r>
      <w:r>
        <w:rPr>
          <w:rFonts w:ascii="Calibri" w:hAnsi="Calibri"/>
        </w:rPr>
        <w:t>.</w:t>
      </w:r>
    </w:p>
    <w:p w14:paraId="35FDB019" w14:textId="77777777" w:rsidR="00D830E3" w:rsidRDefault="003146FF" w:rsidP="00C315DC">
      <w:pPr>
        <w:spacing w:after="120"/>
      </w:pPr>
      <w:r>
        <w:rPr>
          <w:rFonts w:ascii="Calibri" w:hAnsi="Calibri"/>
        </w:rPr>
        <w:t xml:space="preserve">[7] Hersbach, H., et al. (2020). The ERA5 global reanalysis. </w:t>
      </w:r>
      <w:r>
        <w:rPr>
          <w:rFonts w:ascii="Calibri" w:hAnsi="Calibri"/>
          <w:i/>
        </w:rPr>
        <w:t>Q. J. R. Meteorol. Soc.</w:t>
      </w:r>
      <w:r>
        <w:rPr>
          <w:rFonts w:ascii="Calibri" w:hAnsi="Calibri"/>
        </w:rPr>
        <w:t xml:space="preserve"> 146:1999–2049.</w:t>
      </w:r>
    </w:p>
    <w:p w14:paraId="35FDB019" w14:textId="77777777" w:rsidR="00D830E3" w:rsidRDefault="003146FF" w:rsidP="00C315DC">
      <w:pPr>
        <w:spacing w:after="120"/>
      </w:pPr>
      <w:r>
        <w:rPr>
          <w:rFonts w:ascii="Calibri" w:hAnsi="Calibri"/>
        </w:rPr>
        <w:t>[8] Schenk, T., Csatho, B., Ahn, Y., Yoon, T., Shin, S. W., &amp; Huh, K. I. (2004). DEM generation from the Antarctic LiDAR data: Site report. US Geological Survey.</w:t>
      </w:r>
      <w:r>
        <w:rPr>
          <w:rFonts w:ascii="Calibri" w:hAnsi="Calibri"/>
          <w:i/>
        </w:rPr>
      </w:r>
      <w:r>
        <w:rPr>
          <w:rFonts w:ascii="Calibri" w:hAnsi="Calibri"/>
        </w:rPr>
      </w:r>
    </w:p>
    <w:p w14:paraId="35FDB019" w14:textId="77777777" w:rsidR="00D830E3" w:rsidRDefault="003146FF" w:rsidP="00C315DC">
      <w:pPr>
        <w:spacing w:after="120"/>
      </w:pPr>
      <w:r>
        <w:rPr>
          <w:rFonts w:ascii="Calibri" w:hAnsi="Calibri"/>
        </w:rPr>
        <w:t>[9] Fountain, A. G., et al. (1999). Physical controls on the Taylor Valley ecosystem, Antarctica. BioScience 49(12):961-971.</w:t>
      </w:r>
      <w:r>
        <w:rPr>
          <w:rFonts w:ascii="Calibri" w:hAnsi="Calibri"/>
          <w:i/>
        </w:rPr>
      </w:r>
      <w:r>
        <w:rPr>
          <w:rFonts w:ascii="Calibri" w:hAnsi="Calibri"/>
        </w:rPr>
      </w:r>
    </w:p>
    <w:p w14:paraId="602A54A2" w14:textId="77777777" w:rsidR="00504EDB" w:rsidRDefault="00504EDB" w:rsidP="00504EDB">
      <w:pPr>
        <w:pStyle w:val="Default"/>
        <w:rPr/>
      </w:pP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17</cp:revision>
  <dcterms:created xsi:type="dcterms:W3CDTF">2026-07-06T13:13:00Z</dcterms:created>
  <dcterms:modified xsi:type="dcterms:W3CDTF">2026-07-09T00:43:00Z</dcterms:modified>
</cp:coreProperties>
</file>