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color w:val="1F3864"/>
          <w:sz w:val="36"/>
        </w:rPr>
        <w:t>From Detection to Attribution: Physically-Coupled, Cross-Domain Monitoring of Ephemeral-Channel Geomorphic Change from Terrain Alone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NASA ROSES-2025 F.5 — Future Investigators in NASA Earth and Space Science and Technology (FINESST)</w:t>
      </w:r>
    </w:p>
    <w:p>
      <w:pPr>
        <w:spacing w:after="120"/>
      </w:pPr>
      <w:r>
        <w:rPr>
          <w:rFonts w:ascii="Calibri" w:hAnsi="Calibri"/>
          <w:b/>
          <w:i w:val="0"/>
        </w:rPr>
        <w:t>Target division:</w:t>
      </w:r>
      <w:r>
        <w:rPr>
          <w:rFonts w:ascii="Calibri" w:hAnsi="Calibri"/>
          <w:b w:val="0"/>
          <w:i w:val="0"/>
        </w:rPr>
        <w:t xml:space="preserve"> Earth Science Division (EARTH25) — Antarctic cryosphere / climate </w:t>
      </w:r>
      <w:r>
        <w:rPr>
          <w:rFonts w:ascii="Calibri" w:hAnsi="Calibri"/>
          <w:b/>
          <w:i w:val="0"/>
        </w:rPr>
        <w:t>Proposal deadline:</w:t>
      </w:r>
      <w:r>
        <w:rPr>
          <w:rFonts w:ascii="Calibri" w:hAnsi="Calibri"/>
          <w:b w:val="0"/>
          <w:i w:val="0"/>
        </w:rPr>
        <w:t xml:space="preserve"> 14 July 2026 (11:59 PM EDT) </w:t>
      </w:r>
      <w:r>
        <w:rPr>
          <w:rFonts w:ascii="Calibri" w:hAnsi="Calibri"/>
          <w:b/>
          <w:i w:val="0"/>
        </w:rPr>
        <w:t>Structure:</w:t>
      </w:r>
      <w:r>
        <w:rPr>
          <w:rFonts w:ascii="Calibri" w:hAnsi="Calibri"/>
          <w:b w:val="0"/>
          <w:i w:val="0"/>
        </w:rPr>
        <w:t xml:space="preserve"> Graduate student = Future Investigator (FI), primary author and intellectual lead; faculty advisor = PI of record. Award up to ~$50,000/yr for up to 3 years.</w:t>
      </w:r>
    </w:p>
    <w:p>
      <w:pPr>
        <w:spacing w:after="160"/>
        <w:ind w:left="360"/>
      </w:pPr>
      <w:r>
        <w:rPr>
          <w:rFonts w:ascii="Calibri" w:hAnsi="Calibri"/>
          <w:b/>
          <w:i w:val="0"/>
          <w:color w:val="666666"/>
          <w:sz w:val="20"/>
        </w:rPr>
        <w:t>Summary.</w:t>
      </w:r>
      <w:r>
        <w:rPr>
          <w:rFonts w:ascii="Calibri" w:hAnsi="Calibri"/>
          <w:b w:val="0"/>
          <w:i w:val="0"/>
          <w:color w:val="666666"/>
          <w:sz w:val="20"/>
        </w:rPr>
        <w:t xml:space="preserve"> This project will transform an existing Antarctic stream-change </w:t>
      </w:r>
      <w:r>
        <w:rPr>
          <w:rFonts w:ascii="Calibri" w:hAnsi="Calibri"/>
          <w:b w:val="0"/>
          <w:i/>
          <w:color w:val="666666"/>
          <w:sz w:val="20"/>
        </w:rPr>
        <w:t>monitor</w:t>
      </w:r>
      <w:r>
        <w:rPr>
          <w:rFonts w:ascii="Calibri" w:hAnsi="Calibri"/>
          <w:b w:val="0"/>
          <w:i w:val="0"/>
          <w:color w:val="666666"/>
          <w:sz w:val="20"/>
        </w:rPr>
        <w:t xml:space="preserve"> into an </w:t>
      </w:r>
      <w:r>
        <w:rPr>
          <w:rFonts w:ascii="Calibri" w:hAnsi="Calibri"/>
          <w:b w:val="0"/>
          <w:i/>
          <w:color w:val="666666"/>
          <w:sz w:val="20"/>
        </w:rPr>
        <w:t>explanatory and predictive</w:t>
      </w:r>
      <w:r>
        <w:rPr>
          <w:rFonts w:ascii="Calibri" w:hAnsi="Calibri"/>
          <w:b w:val="0"/>
          <w:i w:val="0"/>
          <w:color w:val="666666"/>
          <w:sz w:val="20"/>
        </w:rPr>
        <w:t xml:space="preserve"> tool. Building on Barlow (2026) — which mapped two decades of ephemeral-channel geomorphic change across the McMurdo Dry Valleys — the proposed work will </w:t>
      </w:r>
      <w:r>
        <w:rPr>
          <w:rFonts w:ascii="Calibri" w:hAnsi="Calibri"/>
          <w:b/>
          <w:i w:val="0"/>
          <w:color w:val="666666"/>
          <w:sz w:val="20"/>
        </w:rPr>
        <w:t>(O1)</w:t>
      </w:r>
      <w:r>
        <w:rPr>
          <w:rFonts w:ascii="Calibri" w:hAnsi="Calibri"/>
          <w:b w:val="0"/>
          <w:i w:val="0"/>
          <w:color w:val="666666"/>
          <w:sz w:val="20"/>
        </w:rPr>
        <w:t xml:space="preserve"> attribute that change to its physical/climate drivers, </w:t>
      </w:r>
      <w:r>
        <w:rPr>
          <w:rFonts w:ascii="Calibri" w:hAnsi="Calibri"/>
          <w:b/>
          <w:i w:val="0"/>
          <w:color w:val="666666"/>
          <w:sz w:val="20"/>
        </w:rPr>
        <w:t>(O2)</w:t>
      </w:r>
      <w:r>
        <w:rPr>
          <w:rFonts w:ascii="Calibri" w:hAnsi="Calibri"/>
          <w:b w:val="0"/>
          <w:i w:val="0"/>
          <w:color w:val="666666"/>
          <w:sz w:val="20"/>
        </w:rPr>
        <w:t xml:space="preserve"> generalize the terrain-only detector across sensors and valleys, and </w:t>
      </w:r>
      <w:r>
        <w:rPr>
          <w:rFonts w:ascii="Calibri" w:hAnsi="Calibri"/>
          <w:b/>
          <w:i w:val="0"/>
          <w:color w:val="666666"/>
          <w:sz w:val="20"/>
        </w:rPr>
        <w:t>(O3)</w:t>
      </w:r>
      <w:r>
        <w:rPr>
          <w:rFonts w:ascii="Calibri" w:hAnsi="Calibri"/>
          <w:b w:val="0"/>
          <w:i w:val="0"/>
          <w:color w:val="666666"/>
          <w:sz w:val="20"/>
        </w:rPr>
        <w:t xml:space="preserve"> deliver calibrated per-pixel uncertainty. Preliminary studies by the Future Investigator (§4) have reproduced and validated the parent change-detection pipeline and surfaced a first attribution signal, establishing feasibility and readiness to execute the proposed research.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color w:val="2E5496"/>
          <w:sz w:val="24"/>
        </w:rPr>
        <w:t>1. Background and the Gap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The </w:t>
      </w:r>
      <w:r>
        <w:rPr>
          <w:rFonts w:ascii="Calibri" w:hAnsi="Calibri"/>
          <w:b/>
          <w:i w:val="0"/>
        </w:rPr>
        <w:t>McMurdo Dry Valleys (MDVs)</w:t>
      </w:r>
      <w:r>
        <w:rPr>
          <w:rFonts w:ascii="Calibri" w:hAnsi="Calibri"/>
          <w:b w:val="0"/>
          <w:i w:val="0"/>
        </w:rPr>
        <w:t xml:space="preserve"> are Earth's largest ice-free Antarctic desert and, for a century, were considered the planet's most geomorphologically stable landscape. That assumption is breaking down: in an energy-limited system, small increases in solar absorption and permafrost degradation translate directly into </w:t>
      </w:r>
      <w:r>
        <w:rPr>
          <w:rFonts w:ascii="Calibri" w:hAnsi="Calibri"/>
          <w:b/>
          <w:i w:val="0"/>
        </w:rPr>
        <w:t>ephemeral summer streams</w:t>
      </w:r>
      <w:r>
        <w:rPr>
          <w:rFonts w:ascii="Calibri" w:hAnsi="Calibri"/>
          <w:b w:val="0"/>
          <w:i w:val="0"/>
        </w:rPr>
        <w:t xml:space="preserve"> that flow for a few weeks each year, move sediment, and reshape channels. These streams are the most sensitive measurable indicator of climate change in the most stable place on Earth — a continental-scale "climate canary."</w:t>
      </w:r>
    </w:p>
    <w:p>
      <w:pPr>
        <w:spacing w:after="120"/>
      </w:pPr>
      <w:r>
        <w:rPr>
          <w:rFonts w:ascii="Calibri" w:hAnsi="Calibri"/>
          <w:b/>
          <w:i w:val="0"/>
        </w:rPr>
        <w:t>Barlow (2026)</w:t>
      </w:r>
      <w:r>
        <w:rPr>
          <w:rFonts w:ascii="Calibri" w:hAnsi="Calibri"/>
          <w:b w:val="0"/>
          <w:i w:val="0"/>
        </w:rPr>
        <w:t xml:space="preserve"> [1] established the measurement foundation in three transferable pillars: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1. </w:t>
      </w:r>
      <w:r>
        <w:rPr>
          <w:rFonts w:ascii="Calibri" w:hAnsi="Calibri"/>
          <w:b/>
          <w:i w:val="0"/>
        </w:rPr>
        <w:t>Terrain-only semantic segmentation</w:t>
      </w:r>
      <w:r>
        <w:rPr>
          <w:rFonts w:ascii="Calibri" w:hAnsi="Calibri"/>
          <w:b w:val="0"/>
          <w:i w:val="0"/>
        </w:rPr>
        <w:t xml:space="preserve"> — a U-Net delineates stream boundaries from DEM derivatives alone (elevation, slope, aspect most informative; no water/color signal), so it works in channels that are dry 11 months a year. 2. </w:t>
      </w:r>
      <w:r>
        <w:rPr>
          <w:rFonts w:ascii="Calibri" w:hAnsi="Calibri"/>
          <w:b/>
          <w:i w:val="0"/>
        </w:rPr>
        <w:t>Satellite-DEM validation</w:t>
      </w:r>
      <w:r>
        <w:rPr>
          <w:rFonts w:ascii="Calibri" w:hAnsi="Calibri"/>
          <w:b w:val="0"/>
          <w:i w:val="0"/>
        </w:rPr>
        <w:t xml:space="preserve"> — point-to-plane ICP alignment, </w:t>
      </w:r>
      <w:r>
        <w:rPr>
          <w:rFonts w:ascii="Calibri" w:hAnsi="Calibri"/>
          <w:b/>
          <w:i w:val="0"/>
        </w:rPr>
        <w:t>Laplacian</w:t>
      </w:r>
      <w:r>
        <w:rPr>
          <w:rFonts w:ascii="Calibri" w:hAnsi="Calibri"/>
          <w:b w:val="0"/>
          <w:i w:val="0"/>
        </w:rPr>
        <w:t xml:space="preserve"> error modeling, and outlier-robust </w:t>
      </w:r>
      <w:r>
        <w:rPr>
          <w:rFonts w:ascii="Calibri" w:hAnsi="Calibri"/>
          <w:b/>
          <w:i w:val="0"/>
        </w:rPr>
        <w:t>NMAD</w:t>
      </w:r>
      <w:r>
        <w:rPr>
          <w:rFonts w:ascii="Calibri" w:hAnsi="Calibri"/>
          <w:b w:val="0"/>
          <w:i w:val="0"/>
        </w:rPr>
        <w:t xml:space="preserve"> uncertainty prove free REMA satellite DEMs are accurate enough for centimeter-to-meter stream-corridor change detection. 3. </w:t>
      </w:r>
      <w:r>
        <w:rPr>
          <w:rFonts w:ascii="Calibri" w:hAnsi="Calibri"/>
          <w:b/>
          <w:i w:val="0"/>
        </w:rPr>
        <w:t>Multi-epoch change detection</w:t>
      </w:r>
      <w:r>
        <w:rPr>
          <w:rFonts w:ascii="Calibri" w:hAnsi="Calibri"/>
          <w:b w:val="0"/>
          <w:i w:val="0"/>
        </w:rPr>
        <w:t xml:space="preserve"> — DEM-of-Difference (DoD) inside segmented stream masks, level-of-detection thresholds (LOD95 = 1.96 × NMAD), and per-stream erosion/deposition and acceleration rates across four valleys and three epochs (2001 &amp; 2014 lidar, 2021–23 REMA).</w:t>
      </w:r>
    </w:p>
    <w:p>
      <w:pPr>
        <w:spacing w:after="120"/>
      </w:pPr>
      <w:r>
        <w:rPr>
          <w:rFonts w:ascii="Calibri" w:hAnsi="Calibri"/>
          <w:b/>
          <w:i w:val="0"/>
        </w:rPr>
        <w:t>The gap.</w:t>
      </w:r>
      <w:r>
        <w:rPr>
          <w:rFonts w:ascii="Calibri" w:hAnsi="Calibri"/>
          <w:b w:val="0"/>
          <w:i w:val="0"/>
        </w:rPr>
        <w:t xml:space="preserve"> Barlow's dissertation ends at </w:t>
      </w:r>
      <w:r>
        <w:rPr>
          <w:rFonts w:ascii="Calibri" w:hAnsi="Calibri"/>
          <w:b w:val="0"/>
          <w:i/>
        </w:rPr>
        <w:t>description</w:t>
      </w:r>
      <w:r>
        <w:rPr>
          <w:rFonts w:ascii="Calibri" w:hAnsi="Calibri"/>
          <w:b w:val="0"/>
          <w:i w:val="0"/>
        </w:rPr>
        <w:t xml:space="preserve"> — it maps </w:t>
      </w:r>
      <w:r>
        <w:rPr>
          <w:rFonts w:ascii="Calibri" w:hAnsi="Calibri"/>
          <w:b/>
          <w:i w:val="0"/>
        </w:rPr>
        <w:t>where</w:t>
      </w:r>
      <w:r>
        <w:rPr>
          <w:rFonts w:ascii="Calibri" w:hAnsi="Calibri"/>
          <w:b w:val="0"/>
          <w:i w:val="0"/>
        </w:rPr>
        <w:t xml:space="preserve"> change is happening (Denton Hills is the erosion hotspot; parts of Taylor Valley are accelerating) but explicitly defers two threads to future work: </w:t>
      </w:r>
      <w:r>
        <w:rPr>
          <w:rFonts w:ascii="Calibri" w:hAnsi="Calibri"/>
          <w:b/>
          <w:i w:val="0"/>
        </w:rPr>
        <w:t>(a) coupling geomorphic change to physical/climate drivers</w:t>
      </w:r>
      <w:r>
        <w:rPr>
          <w:rFonts w:ascii="Calibri" w:hAnsi="Calibri"/>
          <w:b w:val="0"/>
          <w:i w:val="0"/>
        </w:rPr>
        <w:t xml:space="preserve">, and </w:t>
      </w:r>
      <w:r>
        <w:rPr>
          <w:rFonts w:ascii="Calibri" w:hAnsi="Calibri"/>
          <w:b/>
          <w:i w:val="0"/>
        </w:rPr>
        <w:t>(b) generalizing the model beyond the MDVs.</w:t>
      </w:r>
      <w:r>
        <w:rPr>
          <w:rFonts w:ascii="Calibri" w:hAnsi="Calibri"/>
          <w:b w:val="0"/>
          <w:i w:val="0"/>
        </w:rPr>
        <w:t xml:space="preserve"> A Future Investigator project lives precisely in that gap: turning a </w:t>
      </w:r>
      <w:r>
        <w:rPr>
          <w:rFonts w:ascii="Calibri" w:hAnsi="Calibri"/>
          <w:b w:val="0"/>
          <w:i/>
        </w:rPr>
        <w:t>monitor</w:t>
      </w:r>
      <w:r>
        <w:rPr>
          <w:rFonts w:ascii="Calibri" w:hAnsi="Calibri"/>
          <w:b w:val="0"/>
          <w:i w:val="0"/>
        </w:rPr>
        <w:t xml:space="preserve"> into an </w:t>
      </w:r>
      <w:r>
        <w:rPr>
          <w:rFonts w:ascii="Calibri" w:hAnsi="Calibri"/>
          <w:b w:val="0"/>
          <w:i/>
        </w:rPr>
        <w:t>explanatory and predictive</w:t>
      </w:r>
      <w:r>
        <w:rPr>
          <w:rFonts w:ascii="Calibri" w:hAnsi="Calibri"/>
          <w:b w:val="0"/>
          <w:i w:val="0"/>
        </w:rPr>
        <w:t xml:space="preserve"> tool (Fig. 1). This is a genuine scientific increment, not a replication.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9217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work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21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hAnsi="Calibri"/>
          <w:b/>
          <w:i/>
        </w:rPr>
        <w:t>Figure 1.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 w:val="0"/>
          <w:i/>
        </w:rPr>
        <w:t>From detection (Barlow 2026; the first four stages, reproduced by the FI in preliminary work — §4) to the proposed attribution and prediction science (last two stages, the new contribution of this project).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color w:val="2E5496"/>
          <w:sz w:val="24"/>
        </w:rPr>
        <w:t>2. Objectives and Hypotheses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1F3864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2412"/>
            <w:shd w:val="clear" w:fill="1F3864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Objective</w:t>
            </w:r>
          </w:p>
        </w:tc>
        <w:tc>
          <w:tcPr>
            <w:tcW w:type="dxa" w:w="2412"/>
            <w:shd w:val="clear" w:fill="1F3864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Hypothesis</w:t>
            </w:r>
          </w:p>
        </w:tc>
        <w:tc>
          <w:tcPr>
            <w:tcW w:type="dxa" w:w="2412"/>
            <w:shd w:val="clear" w:fill="1F3864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Increment over Barlow</w:t>
            </w:r>
          </w:p>
        </w:tc>
      </w:tr>
      <w:tr>
        <w:tc>
          <w:tcPr>
            <w:tcW w:type="dxa" w:w="2412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O1</w:t>
            </w:r>
          </w:p>
        </w:tc>
        <w:tc>
          <w:tcPr>
            <w:tcW w:type="dxa" w:w="2412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Attribution (headline science).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Pair per-stream gross/net/acceleration rates with energy-balance drivers — air/ground temperature, insolation, </w:t>
            </w:r>
            <w:r>
              <w:rPr>
                <w:rFonts w:ascii="Calibri" w:hAnsi="Calibri"/>
                <w:b/>
                <w:i w:val="0"/>
                <w:sz w:val="18"/>
              </w:rPr>
              <w:t>positive-degree-days (PDD)</w:t>
            </w:r>
            <w:r>
              <w:rPr>
                <w:rFonts w:ascii="Calibri" w:hAnsi="Calibri"/>
                <w:b w:val="0"/>
                <w:i w:val="0"/>
                <w:sz w:val="18"/>
              </w:rPr>
              <w:t>, melt-season discharge, glacier mass balance, active-layer depth — from MDV-LTER + ERA5/AMPS reanalysis.</w:t>
            </w:r>
          </w:p>
        </w:tc>
        <w:tc>
          <w:tcPr>
            <w:tcW w:type="dxa" w:w="2412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H1: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Geomorphic flux is governed by </w:t>
            </w:r>
            <w:r>
              <w:rPr>
                <w:rFonts w:ascii="Calibri" w:hAnsi="Calibri"/>
                <w:b w:val="0"/>
                <w:i/>
                <w:sz w:val="18"/>
              </w:rPr>
              <w:t>cumulative melt energy</w:t>
            </w:r>
            <w:r>
              <w:rPr>
                <w:rFonts w:ascii="Calibri" w:hAnsi="Calibri"/>
                <w:b w:val="0"/>
                <w:i w:val="0"/>
                <w:sz w:val="18"/>
              </w:rPr>
              <w:t>, not raw water volume; a PDD/insolation-based energy model predicts per-stream gross rate better than discharge alone (and explains the residual scatter in Fig. 4).</w:t>
            </w:r>
          </w:p>
        </w:tc>
        <w:tc>
          <w:tcPr>
            <w:tcW w:type="dxa" w:w="2412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Listed verbatim as Barlow future work; never quantified.</w:t>
            </w:r>
          </w:p>
        </w:tc>
      </w:tr>
      <w:tr>
        <w:tc>
          <w:tcPr>
            <w:tcW w:type="dxa" w:w="2412"/>
            <w:shd w:val="clear" w:fill="EEF2F8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O2</w:t>
            </w:r>
          </w:p>
        </w:tc>
        <w:tc>
          <w:tcPr>
            <w:tcW w:type="dxa" w:w="2412"/>
            <w:shd w:val="clear" w:fill="EEF2F8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Cross-sensor &amp; cross-valley generalization.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Make the terrain-only segmenter robust across sensors (lidar 2001/2014 ↔ REMA) and all four valleys; quantify and </w:t>
            </w:r>
            <w:r>
              <w:rPr>
                <w:rFonts w:ascii="Calibri" w:hAnsi="Calibri"/>
                <w:b/>
                <w:i w:val="0"/>
                <w:sz w:val="18"/>
              </w:rPr>
              <w:t>correct the lidar→satellite domain shift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that limits the satellite epoch.</w:t>
            </w:r>
          </w:p>
        </w:tc>
        <w:tc>
          <w:tcPr>
            <w:tcW w:type="dxa" w:w="2412"/>
            <w:shd w:val="clear" w:fill="EEF2F8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H2: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A sensor-aware normalization (per-pixel slope/aspect-conditioned bias correction) closes most of the lidar–REMA F1 gap, recovering near-lidar segmentation on REMA.</w:t>
            </w:r>
          </w:p>
        </w:tc>
        <w:tc>
          <w:tcPr>
            <w:tcW w:type="dxa" w:w="2412"/>
            <w:shd w:val="clear" w:fill="EEF2F8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Barlow flags sensor generalization as future work.</w:t>
            </w:r>
          </w:p>
        </w:tc>
      </w:tr>
      <w:tr>
        <w:tc>
          <w:tcPr>
            <w:tcW w:type="dxa" w:w="2412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O3</w:t>
            </w:r>
          </w:p>
        </w:tc>
        <w:tc>
          <w:tcPr>
            <w:tcW w:type="dxa" w:w="2412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Calibrated uncertainty.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Extend the Laplacian/NMAD/LOD framework into a </w:t>
            </w:r>
            <w:r>
              <w:rPr>
                <w:rFonts w:ascii="Calibri" w:hAnsi="Calibri"/>
                <w:b/>
                <w:i w:val="0"/>
                <w:sz w:val="18"/>
              </w:rPr>
              <w:t>per-pixel, sensor-aware confidence layer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so every change map ships with calibrated uncertainty.</w:t>
            </w:r>
          </w:p>
        </w:tc>
        <w:tc>
          <w:tcPr>
            <w:tcW w:type="dxa" w:w="2412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H3: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Conditioning NMAD on slope, aspect, and sensor yields LOD maps whose empirical exceedance matches the nominal 95% — a trustworthy-EO product.</w:t>
            </w:r>
          </w:p>
        </w:tc>
        <w:tc>
          <w:tcPr>
            <w:tcW w:type="dxa" w:w="2412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Barlow uses a single global NMAD per epoch-pair.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b/>
          <w:i w:val="0"/>
        </w:rPr>
        <w:t>Predictive payoff (ties O1–O3 together):</w:t>
      </w:r>
      <w:r>
        <w:rPr>
          <w:rFonts w:ascii="Calibri" w:hAnsi="Calibri"/>
          <w:b w:val="0"/>
          <w:i w:val="0"/>
        </w:rPr>
        <w:t xml:space="preserve"> a model that, given a driver field, predicts </w:t>
      </w:r>
      <w:r>
        <w:rPr>
          <w:rFonts w:ascii="Calibri" w:hAnsi="Calibri"/>
          <w:b w:val="0"/>
          <w:i/>
        </w:rPr>
        <w:t>where acceleration migrates next</w:t>
      </w:r>
      <w:r>
        <w:rPr>
          <w:rFonts w:ascii="Calibri" w:hAnsi="Calibri"/>
          <w:b w:val="0"/>
          <w:i w:val="0"/>
        </w:rPr>
        <w:t xml:space="preserve"> — the actionable form of the "climate canary."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color w:val="2E5496"/>
          <w:sz w:val="24"/>
        </w:rPr>
        <w:t>3. Methodology</w:t>
      </w:r>
    </w:p>
    <w:p>
      <w:pPr>
        <w:spacing w:after="120"/>
      </w:pPr>
      <w:r>
        <w:rPr>
          <w:rFonts w:ascii="Calibri" w:hAnsi="Calibri"/>
          <w:b/>
          <w:i w:val="0"/>
        </w:rPr>
        <w:t>Data (free/public; assembled in preliminary work — see §6).</w:t>
      </w:r>
      <w:r>
        <w:rPr>
          <w:rFonts w:ascii="Calibri" w:hAnsi="Calibri"/>
          <w:b w:val="0"/>
          <w:i w:val="0"/>
        </w:rPr>
        <w:t xml:space="preserve"> Elevation backbone: MDV airborne lidar 2001 (NASA ATM, 2 m) + 2014 (NCALM, 1 m), and REMA v2.0 (2 m, 2021–23). Per-epoch derivatives — elevation, slope, aspect, </w:t>
      </w:r>
      <w:r>
        <w:rPr>
          <w:rFonts w:ascii="Calibri" w:hAnsi="Calibri"/>
          <w:b/>
          <w:i w:val="0"/>
        </w:rPr>
        <w:t>profile curvature</w:t>
      </w:r>
      <w:r>
        <w:rPr>
          <w:rFonts w:ascii="Calibri" w:hAnsi="Calibri"/>
          <w:b w:val="0"/>
          <w:i w:val="0"/>
        </w:rPr>
        <w:t xml:space="preserve"> (signed), </w:t>
      </w:r>
      <w:r>
        <w:rPr>
          <w:rFonts w:ascii="Calibri" w:hAnsi="Calibri"/>
          <w:b/>
          <w:i w:val="0"/>
        </w:rPr>
        <w:t>MFD flow accumulation</w:t>
      </w:r>
      <w:r>
        <w:rPr>
          <w:rFonts w:ascii="Calibri" w:hAnsi="Calibri"/>
          <w:b w:val="0"/>
          <w:i w:val="0"/>
        </w:rPr>
        <w:t xml:space="preserve">, lidar intensity. Drivers: MDV-LTER meteorology (Lake Bonney), </w:t>
      </w:r>
      <w:r>
        <w:rPr>
          <w:rFonts w:ascii="Calibri" w:hAnsi="Calibri"/>
          <w:b/>
          <w:i w:val="0"/>
        </w:rPr>
        <w:t>21 stream-discharge gauges</w:t>
      </w:r>
      <w:r>
        <w:rPr>
          <w:rFonts w:ascii="Calibri" w:hAnsi="Calibri"/>
          <w:b w:val="0"/>
          <w:i w:val="0"/>
        </w:rPr>
        <w:t>, glacier mass balance (7 glaciers), continuous soil T/EC/VWC (active-layer proxy); ERA5 monthly 1993–2024 and AMPS 2.67-km for spatial gap-fill. Labels: MCM-LTER stream centerlines (public stand-in for Barlow's access-gated 217 hand-digitized tiles — see §7 risk).</w:t>
      </w:r>
    </w:p>
    <w:p>
      <w:pPr>
        <w:spacing w:after="120"/>
      </w:pPr>
      <w:r>
        <w:rPr>
          <w:rFonts w:ascii="Calibri" w:hAnsi="Calibri"/>
          <w:b/>
          <w:i w:val="0"/>
        </w:rPr>
        <w:t>O1 — Attribution.</w:t>
      </w:r>
      <w:r>
        <w:rPr>
          <w:rFonts w:ascii="Calibri" w:hAnsi="Calibri"/>
          <w:b w:val="0"/>
          <w:i w:val="0"/>
        </w:rPr>
        <w:t xml:space="preserve"> For each gauged stream and epoch, the proposed work will (i) compute gross/net geomorphic rate by DoD inside the channel mask (method demonstrated in preliminary work, Fig. 2); (ii) build a per-stream </w:t>
      </w:r>
      <w:r>
        <w:rPr>
          <w:rFonts w:ascii="Calibri" w:hAnsi="Calibri"/>
          <w:b/>
          <w:i w:val="0"/>
        </w:rPr>
        <w:t>energy time series</w:t>
      </w:r>
      <w:r>
        <w:rPr>
          <w:rFonts w:ascii="Calibri" w:hAnsi="Calibri"/>
          <w:b w:val="0"/>
          <w:i w:val="0"/>
        </w:rPr>
        <w:t xml:space="preserve"> — melt-season PDD and incoming shortwave from LTER + ERA5/AMPS, cumulative discharge, and active-layer depth; (iii) fit hierarchical regression / random-forest models of rate vs. drivers, with leave-one-stream-out cross-validation; and (iv) test H1 by comparing an energy-balance predictor against discharge-only (Fig. 5 is the preliminary seed: the raw-discharge relationship is real but incomplete). Acceleration (3-epoch Taylor streams) will be regressed against driver </w:t>
      </w:r>
      <w:r>
        <w:rPr>
          <w:rFonts w:ascii="Calibri" w:hAnsi="Calibri"/>
          <w:b w:val="0"/>
          <w:i/>
        </w:rPr>
        <w:t>trends</w:t>
      </w:r>
      <w:r>
        <w:rPr>
          <w:rFonts w:ascii="Calibri" w:hAnsi="Calibri"/>
          <w:b w:val="0"/>
          <w:i w:val="0"/>
        </w:rPr>
        <w:t>.</w:t>
      </w:r>
    </w:p>
    <w:p>
      <w:pPr>
        <w:spacing w:after="120"/>
      </w:pPr>
      <w:r>
        <w:rPr>
          <w:rFonts w:ascii="Calibri" w:hAnsi="Calibri"/>
          <w:b/>
          <w:i w:val="0"/>
        </w:rPr>
        <w:t>O2 — Generalization.</w:t>
      </w:r>
      <w:r>
        <w:rPr>
          <w:rFonts w:ascii="Calibri" w:hAnsi="Calibri"/>
          <w:b w:val="0"/>
          <w:i w:val="0"/>
        </w:rPr>
        <w:t xml:space="preserve"> The work will quantify the lidar→REMA domain shift over stable terrain as a function of slope/aspect, learn a correction, retrain/fine-tune the segmenter with sensor augmentation, and evaluate F1 across all four valleys and both sensor regimes. The WellSight feasibility anchor (§5) already demonstrates the identical architecture transferring across biomes.</w:t>
      </w:r>
    </w:p>
    <w:p>
      <w:pPr>
        <w:spacing w:after="120"/>
      </w:pPr>
      <w:r>
        <w:rPr>
          <w:rFonts w:ascii="Calibri" w:hAnsi="Calibri"/>
          <w:b/>
          <w:i w:val="0"/>
        </w:rPr>
        <w:t>O3 — Calibrated uncertainty.</w:t>
      </w:r>
      <w:r>
        <w:rPr>
          <w:rFonts w:ascii="Calibri" w:hAnsi="Calibri"/>
          <w:b w:val="0"/>
          <w:i w:val="0"/>
        </w:rPr>
        <w:t xml:space="preserve"> The work will replace the single global NMAD with NMAD conditioned on (slope, aspect, sensor), emit a per-pixel LOD raster, and validate calibration by checking that observed sub-LOD residual fractions match nominal confidence on held-out stable terrain (Fig. 4 shows the global version demonstrated in preliminary work — Laplacian fits the residuals far better than Gaussian).</w:t>
      </w:r>
    </w:p>
    <w:p>
      <w:pPr>
        <w:spacing w:after="120"/>
      </w:pPr>
      <w:r>
        <w:rPr>
          <w:rFonts w:ascii="Calibri" w:hAnsi="Calibri"/>
          <w:b/>
          <w:i w:val="0"/>
        </w:rPr>
        <w:t>Reproducibility/QC.</w:t>
      </w:r>
      <w:r>
        <w:rPr>
          <w:rFonts w:ascii="Calibri" w:hAnsi="Calibri"/>
          <w:b w:val="0"/>
          <w:i w:val="0"/>
        </w:rPr>
        <w:t xml:space="preserve"> The pipeline is fully scripted — input data and all derivatives regenerate from source — with robust statistics and CRS checks enforced at every step (e.g., a preliminary QC catch — a 2001 nodata bug inflating NMAD to 2.7 m — was identified and fixed).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color w:val="2E5496"/>
          <w:sz w:val="24"/>
        </w:rPr>
        <w:t>4. Preliminary Studies and Feasibility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To establish feasibility, the FI conducted preliminary studies that reproduce the pipeline underpinning the proposed work. These are feasibility demonstrations — not funded-project deliverables; the proposed research (§2–3) extends them. The FI independently reproduced Barlow's Pillar-3 change detection on Taylor Valley, obtaining results that fall </w:t>
      </w:r>
      <w:r>
        <w:rPr>
          <w:rFonts w:ascii="Calibri" w:hAnsi="Calibri"/>
          <w:b/>
          <w:i w:val="0"/>
        </w:rPr>
        <w:t>inside her published ranges</w:t>
      </w:r>
      <w:r>
        <w:rPr>
          <w:rFonts w:ascii="Calibri" w:hAnsi="Calibri"/>
          <w:b w:val="0"/>
          <w:i w:val="0"/>
        </w:rPr>
        <w:t>, and took an exploratory first step into the O1 attribution science.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(a) Change detection reproduced across all three epochs (Fig. 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185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od_ma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18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hAnsi="Calibri"/>
          <w:b/>
          <w:i/>
        </w:rPr>
        <w:t>Figure 2.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 w:val="0"/>
          <w:i/>
        </w:rPr>
        <w:t>DEM-of-Difference, Taylor Valley stream corridors, only |Δz| &gt; LOD95 shown. (a) 2001→2014 lidar–lidar, ICP-aligned; (b) 2014→2021-23 lidar–REMA. Coherent erosion/deposition patterns emerge above the noise floor; REMA auto-reprojected from EPSG:3031 to the lidar grid.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fill="1F3864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Epoch pair</w:t>
            </w:r>
          </w:p>
        </w:tc>
        <w:tc>
          <w:tcPr>
            <w:tcW w:type="dxa" w:w="1930"/>
            <w:shd w:val="clear" w:fill="1F3864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NMAD</w:t>
            </w:r>
          </w:p>
        </w:tc>
        <w:tc>
          <w:tcPr>
            <w:tcW w:type="dxa" w:w="1930"/>
            <w:shd w:val="clear" w:fill="1F3864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LOD95</w:t>
            </w:r>
          </w:p>
        </w:tc>
        <w:tc>
          <w:tcPr>
            <w:tcW w:type="dxa" w:w="1930"/>
            <w:shd w:val="clear" w:fill="1F3864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Barlow's published range</w:t>
            </w:r>
          </w:p>
        </w:tc>
        <w:tc>
          <w:tcPr>
            <w:tcW w:type="dxa" w:w="1930"/>
            <w:shd w:val="clear" w:fill="1F3864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In range?</w:t>
            </w:r>
          </w:p>
        </w:tc>
      </w:tr>
      <w:tr>
        <w:tc>
          <w:tcPr>
            <w:tcW w:type="dxa" w:w="193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2001→2014 (lidar–lidar)</w:t>
            </w:r>
          </w:p>
        </w:tc>
        <w:tc>
          <w:tcPr>
            <w:tcW w:type="dxa" w:w="193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0.21 m</w:t>
            </w:r>
          </w:p>
        </w:tc>
        <w:tc>
          <w:tcPr>
            <w:tcW w:type="dxa" w:w="193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0.41 m</w:t>
            </w:r>
          </w:p>
        </w:tc>
        <w:tc>
          <w:tcPr>
            <w:tcW w:type="dxa" w:w="193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NMAD 0.07–0.46 / LOD95 0.15–0.92</w:t>
            </w:r>
          </w:p>
        </w:tc>
        <w:tc>
          <w:tcPr>
            <w:tcW w:type="dxa" w:w="193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✅</w:t>
            </w:r>
          </w:p>
        </w:tc>
      </w:tr>
      <w:tr>
        <w:tc>
          <w:tcPr>
            <w:tcW w:type="dxa" w:w="1930"/>
            <w:shd w:val="clear" w:fill="EEF2F8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2014→2021-23 (lidar–REMA)</w:t>
            </w:r>
          </w:p>
        </w:tc>
        <w:tc>
          <w:tcPr>
            <w:tcW w:type="dxa" w:w="1930"/>
            <w:shd w:val="clear" w:fill="EEF2F8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0.23 m</w:t>
            </w:r>
          </w:p>
        </w:tc>
        <w:tc>
          <w:tcPr>
            <w:tcW w:type="dxa" w:w="1930"/>
            <w:shd w:val="clear" w:fill="EEF2F8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0.44 m</w:t>
            </w:r>
          </w:p>
        </w:tc>
        <w:tc>
          <w:tcPr>
            <w:tcW w:type="dxa" w:w="1930"/>
            <w:shd w:val="clear" w:fill="EEF2F8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NMAD 0.19–0.53 / LOD95 0.37–1.04</w:t>
            </w:r>
          </w:p>
        </w:tc>
        <w:tc>
          <w:tcPr>
            <w:tcW w:type="dxa" w:w="1930"/>
            <w:shd w:val="clear" w:fill="EEF2F8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✅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b w:val="0"/>
          <w:i w:val="0"/>
        </w:rPr>
        <w:t xml:space="preserve">Point-to-point </w:t>
      </w:r>
      <w:r>
        <w:rPr>
          <w:rFonts w:ascii="Calibri" w:hAnsi="Calibri"/>
          <w:b/>
          <w:i w:val="0"/>
        </w:rPr>
        <w:t>ICP</w:t>
      </w:r>
      <w:r>
        <w:rPr>
          <w:rFonts w:ascii="Calibri" w:hAnsi="Calibri"/>
          <w:b w:val="0"/>
          <w:i w:val="0"/>
        </w:rPr>
        <w:t xml:space="preserve"> converged with fitness 0.95 m² (mean-squared correspondence distance) and improved DoD NMAD on high-relief windows; on the flat valley floor it correctly added no benefit — exactly the relief-dependence Barlow's point-to-plane ICP exhibits.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(b) Per-stream rates (Fig. 3) — the masked products the proposed O1 will consume.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5986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per_stream_r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598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hAnsi="Calibri"/>
          <w:b/>
          <w:i/>
        </w:rPr>
        <w:t>Figure 3.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 w:val="0"/>
          <w:i/>
        </w:rPr>
        <w:t>Per-stream gross (busyness) and net (erosion–deposition) sediment-flux rates for six gauged Taylor Valley streams, both epochs, channels masked to MCM-LTER centerlines.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(c) Robust error model (Fig. 4) — the basis for the proposed O3.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74821" cy="36575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rror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74821" cy="3657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hAnsi="Calibri"/>
          <w:b/>
          <w:i/>
        </w:rPr>
        <w:t>Figure 4.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 w:val="0"/>
          <w:i/>
        </w:rPr>
        <w:t xml:space="preserve">Stable-terrain DoD residuals are sharply </w:t>
      </w:r>
      <w:r>
        <w:rPr>
          <w:rFonts w:ascii="Calibri" w:hAnsi="Calibri"/>
          <w:b w:val="0"/>
          <w:i/>
        </w:rPr>
        <w:t>Laplacian</w:t>
      </w:r>
      <w:r>
        <w:rPr>
          <w:rFonts w:ascii="Calibri" w:hAnsi="Calibri"/>
          <w:b w:val="0"/>
          <w:i/>
        </w:rPr>
        <w:t>, not Gaussian — the fat tails would inflate a σ-based LOD. This reproduces Barlow's NMAD/Laplacian finding and is the launch point for the proposed per-pixel calibrated-uncertainty layer (O3).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(d) An exploratory attribution signal (Fig. 5) — evidence O1 is tractable.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30981" cy="3657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at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0981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hAnsi="Calibri"/>
          <w:b/>
          <w:i/>
        </w:rPr>
        <w:t>Figure 5.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 w:val="0"/>
          <w:i/>
        </w:rPr>
        <w:t xml:space="preserve">Per-stream gross geomorphic rate vs. cumulative gauged melt discharge. The </w:t>
      </w:r>
      <w:r>
        <w:rPr>
          <w:rFonts w:ascii="Calibri" w:hAnsi="Calibri"/>
          <w:b w:val="0"/>
          <w:i/>
        </w:rPr>
        <w:t>lidar–lidar epoch shows a strong positive relationship (r = +0.89)</w:t>
      </w:r>
      <w:r>
        <w:rPr>
          <w:rFonts w:ascii="Calibri" w:hAnsi="Calibri"/>
          <w:b w:val="0"/>
          <w:i/>
        </w:rPr>
        <w:t xml:space="preserve"> — busier streams move more sediment, as expected. The REMA epoch is noisier (r = +0.43; sparse post-2014 gauge coverage and larger satellite LOD). This motivates O1: raw discharge explains the first-order signal but leaves structured residuals, so the proposed work will develop a </w:t>
      </w:r>
      <w:r>
        <w:rPr>
          <w:rFonts w:ascii="Calibri" w:hAnsi="Calibri"/>
          <w:b w:val="0"/>
          <w:i/>
        </w:rPr>
        <w:t>melt-energy</w:t>
      </w:r>
      <w:r>
        <w:rPr>
          <w:rFonts w:ascii="Calibri" w:hAnsi="Calibri"/>
          <w:b w:val="0"/>
          <w:i/>
        </w:rPr>
        <w:t xml:space="preserve"> (PDD/insolation/ active-layer) model to close the gap and turn correlation into attribution.</w:t>
      </w:r>
    </w:p>
    <w:p>
      <w:pPr>
        <w:spacing w:after="120"/>
      </w:pPr>
      <w:r>
        <w:rPr>
          <w:rFonts w:ascii="Calibri" w:hAnsi="Calibri"/>
          <w:b/>
          <w:i w:val="0"/>
        </w:rPr>
        <w:t>Feasibility summary.</w:t>
      </w:r>
      <w:r>
        <w:rPr>
          <w:rFonts w:ascii="Calibri" w:hAnsi="Calibri"/>
          <w:b w:val="0"/>
          <w:i w:val="0"/>
        </w:rPr>
        <w:t xml:space="preserve"> These preliminary studies retire the principal execution risk in any FINESST proposal — whether the applicant can run the full pipeline end to end. The proposed research (O1–O3) builds new science on this demonstrated foundation.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color w:val="2E5496"/>
          <w:sz w:val="24"/>
        </w:rPr>
        <w:t>5. Feasibility Anchor (FI Qualifications)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The FI independently operates an end-to-end pipeline — </w:t>
      </w:r>
      <w:r>
        <w:rPr>
          <w:rFonts w:ascii="Calibri" w:hAnsi="Calibri"/>
          <w:b/>
          <w:i w:val="0"/>
        </w:rPr>
        <w:t>"WellSight"</w:t>
      </w:r>
      <w:r>
        <w:rPr>
          <w:rFonts w:ascii="Calibri" w:hAnsi="Calibri"/>
          <w:b w:val="0"/>
          <w:i w:val="0"/>
        </w:rPr>
        <w:t xml:space="preserve"> — that runs the </w:t>
      </w:r>
      <w:r>
        <w:rPr>
          <w:rFonts w:ascii="Calibri" w:hAnsi="Calibri"/>
          <w:b w:val="0"/>
          <w:i/>
        </w:rPr>
        <w:t>identical architecture</w:t>
      </w:r>
      <w:r>
        <w:rPr>
          <w:rFonts w:ascii="Calibri" w:hAnsi="Calibri"/>
          <w:b w:val="0"/>
          <w:i w:val="0"/>
        </w:rPr>
        <w:t xml:space="preserve"> on a completely different landscape: U-Net semantic segmentation on lidar-derived terrain rasters (DEM, slope, local relief, openness), ICP co-registration, and DEM-of-Difference change analysis, applied to Appalachian Plateau channels, roads, and abandoned-well pad scars detected from elevation alone. This independently demonstrates that the method generalizes across sensors and biomes (directly de-risking the proposed </w:t>
      </w:r>
      <w:r>
        <w:rPr>
          <w:rFonts w:ascii="Calibri" w:hAnsi="Calibri"/>
          <w:b/>
          <w:i w:val="0"/>
        </w:rPr>
        <w:t>O2</w:t>
      </w:r>
      <w:r>
        <w:rPr>
          <w:rFonts w:ascii="Calibri" w:hAnsi="Calibri"/>
          <w:b w:val="0"/>
          <w:i w:val="0"/>
        </w:rPr>
        <w:t>) and that the FI already commands the full toolchain — a concrete readiness anchor most FI applicants lack. The MDV preliminary studies in §4 extend that same toolchain to this project's target system.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color w:val="2E5496"/>
          <w:sz w:val="24"/>
        </w:rPr>
        <w:t>6. Data Requirements and Availability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Every dataset required for the proposed work is </w:t>
      </w:r>
      <w:r>
        <w:rPr>
          <w:rFonts w:ascii="Calibri" w:hAnsi="Calibri"/>
          <w:b/>
          <w:i w:val="0"/>
        </w:rPr>
        <w:t>free/public</w:t>
      </w:r>
      <w:r>
        <w:rPr>
          <w:rFonts w:ascii="Calibri" w:hAnsi="Calibri"/>
          <w:b w:val="0"/>
          <w:i w:val="0"/>
        </w:rPr>
        <w:t>, and the FI has already assembled the full stack during preliminary studies (regenerable from source via scripted pipelines), so data availability poses no schedule risk. The single access-gated dependency is Barlow's training labels (mitigated below and in §7).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1F3864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Category</w:t>
            </w:r>
          </w:p>
        </w:tc>
        <w:tc>
          <w:tcPr>
            <w:tcW w:type="dxa" w:w="3216"/>
            <w:shd w:val="clear" w:fill="1F3864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Source</w:t>
            </w:r>
          </w:p>
        </w:tc>
        <w:tc>
          <w:tcPr>
            <w:tcW w:type="dxa" w:w="3216"/>
            <w:shd w:val="clear" w:fill="1F3864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Availability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A. Terrain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— MDV lidar 2001 (ATM/ScienceBase) + 2014 (NCALM/OpenTopography); REMA 2021-23 (PGC)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free/public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✅ in hand</w:t>
            </w:r>
          </w:p>
        </w:tc>
      </w:tr>
      <w:tr>
        <w:tc>
          <w:tcPr>
            <w:tcW w:type="dxa" w:w="3216"/>
            <w:shd w:val="clear" w:fill="EEF2F8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Per-epoch derivatives (elev/slope/aspect/curv/MFD-flow/intensity)</w:t>
            </w:r>
          </w:p>
        </w:tc>
        <w:tc>
          <w:tcPr>
            <w:tcW w:type="dxa" w:w="3216"/>
            <w:shd w:val="clear" w:fill="EEF2F8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scripted from terrain</w:t>
            </w:r>
          </w:p>
        </w:tc>
        <w:tc>
          <w:tcPr>
            <w:tcW w:type="dxa" w:w="3216"/>
            <w:shd w:val="clear" w:fill="EEF2F8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✅ demonstrated (Taylor pilot)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B. Labels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— MCM-LTER stream centerlines (QC)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 xml:space="preserve">EDI </w:t>
            </w:r>
            <w:r>
              <w:rPr>
                <w:rFonts w:ascii="Consolas" w:hAnsi="Consolas"/>
                <w:b w:val="0"/>
                <w:i w:val="0"/>
                <w:sz w:val="15"/>
              </w:rPr>
              <w:t>knb-lter-mcm.6007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✅ in hand</w:t>
            </w:r>
          </w:p>
        </w:tc>
      </w:tr>
      <w:tr>
        <w:tc>
          <w:tcPr>
            <w:tcW w:type="dxa" w:w="3216"/>
            <w:shd w:val="clear" w:fill="EEF2F8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Barlow's 217 hand-digitized tiles</w:t>
            </w:r>
          </w:p>
        </w:tc>
        <w:tc>
          <w:tcPr>
            <w:tcW w:type="dxa" w:w="3216"/>
            <w:shd w:val="clear" w:fill="EEF2F8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author-gated</w:t>
            </w:r>
          </w:p>
        </w:tc>
        <w:tc>
          <w:tcPr>
            <w:tcW w:type="dxa" w:w="3216"/>
            <w:shd w:val="clear" w:fill="EEF2F8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 xml:space="preserve">⚠️ </w:t>
            </w:r>
            <w:r>
              <w:rPr>
                <w:rFonts w:ascii="Calibri" w:hAnsi="Calibri"/>
                <w:b/>
                <w:i w:val="0"/>
                <w:sz w:val="18"/>
              </w:rPr>
              <w:t>lone access-gated dependency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(see §7)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C. Drivers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— LTER met, 21 discharge gauges, glacier mass balance, soil/active-layer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EDI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✅ in hand</w:t>
            </w:r>
          </w:p>
        </w:tc>
      </w:tr>
      <w:tr>
        <w:tc>
          <w:tcPr>
            <w:tcW w:type="dxa" w:w="3216"/>
            <w:shd w:val="clear" w:fill="EEF2F8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Reanalysis — ERA5 monthly 1993-2024; AMPS 2.67 km</w:t>
            </w:r>
          </w:p>
        </w:tc>
        <w:tc>
          <w:tcPr>
            <w:tcW w:type="dxa" w:w="3216"/>
            <w:shd w:val="clear" w:fill="EEF2F8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CDS; GDEX</w:t>
            </w:r>
          </w:p>
        </w:tc>
        <w:tc>
          <w:tcPr>
            <w:tcW w:type="dxa" w:w="3216"/>
            <w:shd w:val="clear" w:fill="EEF2F8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✅ in hand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D. Cross-valley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— all four valleys, both lidar + REMA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OpenTopography/PGC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✅ DEMs in hand; per-valley stacks to build</w:t>
            </w:r>
          </w:p>
        </w:tc>
      </w:tr>
      <w:tr>
        <w:tc>
          <w:tcPr>
            <w:tcW w:type="dxa" w:w="3216"/>
            <w:shd w:val="clear" w:fill="EEF2F8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E. Validation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— WorldView/Maxar (label QC); published rates</w:t>
            </w:r>
          </w:p>
        </w:tc>
        <w:tc>
          <w:tcPr>
            <w:tcW w:type="dxa" w:w="3216"/>
            <w:shd w:val="clear" w:fill="EEF2F8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PGC (restricted); literature</w:t>
            </w:r>
          </w:p>
        </w:tc>
        <w:tc>
          <w:tcPr>
            <w:tcW w:type="dxa" w:w="3216"/>
            <w:shd w:val="clear" w:fill="EEF2F8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optional / cross-check vs Barlow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color w:val="2E5496"/>
          <w:sz w:val="24"/>
        </w:rPr>
        <w:t>7. Management, Timeline, Risks, and Data Management Plan</w:t>
      </w:r>
    </w:p>
    <w:p>
      <w:pPr>
        <w:spacing w:after="120"/>
      </w:pPr>
      <w:r>
        <w:rPr>
          <w:rFonts w:ascii="Calibri" w:hAnsi="Calibri"/>
          <w:b/>
          <w:i w:val="0"/>
        </w:rPr>
        <w:t>FI role &amp; development.</w:t>
      </w:r>
      <w:r>
        <w:rPr>
          <w:rFonts w:ascii="Calibri" w:hAnsi="Calibri"/>
          <w:b w:val="0"/>
          <w:i w:val="0"/>
        </w:rPr>
        <w:t xml:space="preserve"> The FI is intellectual lead and primary author; the advisor (PI of record) provides domain mentorship. Development plan: present at AGU (cryosphere) and an ISAES/SCAR venue; co-author the attribution paper (O1) as a stand-alone publication; complete graduate coursework in Bayesian/hierarchical modeling and remote-sensing uncertainty.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Timeline (3 years).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3864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Period</w:t>
            </w:r>
          </w:p>
        </w:tc>
        <w:tc>
          <w:tcPr>
            <w:tcW w:type="dxa" w:w="4824"/>
            <w:shd w:val="clear" w:fill="1F3864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Milestones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Yr 1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 xml:space="preserve">Full driver harmonization (PDD/insolation/active-layer series per gauged stream); O1 attribution model on Taylor Valley (extending the Fig. 5 preliminary signal); calibrated-uncertainty prototype (O3). </w:t>
            </w:r>
            <w:r>
              <w:rPr>
                <w:rFonts w:ascii="Calibri" w:hAnsi="Calibri"/>
                <w:b/>
                <w:i w:val="0"/>
                <w:sz w:val="18"/>
              </w:rPr>
              <w:t>Deliverable: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attribution manuscript drafted.</w:t>
            </w:r>
          </w:p>
        </w:tc>
      </w:tr>
      <w:tr>
        <w:tc>
          <w:tcPr>
            <w:tcW w:type="dxa" w:w="4824"/>
            <w:shd w:val="clear" w:fill="EEF2F8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Yr 2</w:t>
            </w:r>
          </w:p>
        </w:tc>
        <w:tc>
          <w:tcPr>
            <w:tcW w:type="dxa" w:w="4824"/>
            <w:shd w:val="clear" w:fill="EEF2F8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 xml:space="preserve">Cross-sensor domain-shift correction + segmenter generalization across all four valleys (O2); apply attribution model basin-wide; AGU presentation. </w:t>
            </w:r>
            <w:r>
              <w:rPr>
                <w:rFonts w:ascii="Calibri" w:hAnsi="Calibri"/>
                <w:b/>
                <w:i w:val="0"/>
                <w:sz w:val="18"/>
              </w:rPr>
              <w:t>Deliverable: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O2 paper.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Yr 3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 xml:space="preserve">Predictive model (where acceleration migrates next); 3-epoch acceleration attribution; calibrated-uncertainty product release (O3). </w:t>
            </w:r>
            <w:r>
              <w:rPr>
                <w:rFonts w:ascii="Calibri" w:hAnsi="Calibri"/>
                <w:b/>
                <w:i w:val="0"/>
                <w:sz w:val="18"/>
              </w:rPr>
              <w:t>Deliverable: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synthesis/prediction paper + public data products.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b/>
          <w:i w:val="0"/>
        </w:rPr>
        <w:t>Risks &amp; mitigations.</w:t>
      </w:r>
      <w:r>
        <w:rPr>
          <w:rFonts w:ascii="Calibri" w:hAnsi="Calibri"/>
          <w:b w:val="0"/>
          <w:i w:val="0"/>
        </w:rPr>
        <w:t xml:space="preserve"> (1) </w:t>
      </w:r>
      <w:r>
        <w:rPr>
          <w:rFonts w:ascii="Calibri" w:hAnsi="Calibri"/>
          <w:b w:val="0"/>
          <w:i/>
        </w:rPr>
        <w:t>Barlow's label tiles are access-gated</w:t>
      </w:r>
      <w:r>
        <w:rPr>
          <w:rFonts w:ascii="Calibri" w:hAnsi="Calibri"/>
          <w:b w:val="0"/>
          <w:i w:val="0"/>
        </w:rPr>
        <w:t xml:space="preserve"> → mitigation: LTER centerlines already work as a QC stand-in (Fig. 2–3 built on them); plan to request the tiles and, failing that, re-digitize a comparable training set (the WellSight pipeline shows we can build labels). (2) </w:t>
      </w:r>
      <w:r>
        <w:rPr>
          <w:rFonts w:ascii="Calibri" w:hAnsi="Calibri"/>
          <w:b w:val="0"/>
          <w:i/>
        </w:rPr>
        <w:t>REMA's uneven post-2014 coverage</w:t>
      </w:r>
      <w:r>
        <w:rPr>
          <w:rFonts w:ascii="Calibri" w:hAnsi="Calibri"/>
          <w:b w:val="0"/>
          <w:i w:val="0"/>
        </w:rPr>
        <w:t xml:space="preserve"> → prioritize Taylor Valley (full 3-epoch coverage) for acceleration; treat other valleys as 2-epoch. (3) </w:t>
      </w:r>
      <w:r>
        <w:rPr>
          <w:rFonts w:ascii="Calibri" w:hAnsi="Calibri"/>
          <w:b w:val="0"/>
          <w:i/>
        </w:rPr>
        <w:t>Discharge gauge gaps</w:t>
      </w:r>
      <w:r>
        <w:rPr>
          <w:rFonts w:ascii="Calibri" w:hAnsi="Calibri"/>
          <w:b w:val="0"/>
          <w:i w:val="0"/>
        </w:rPr>
        <w:t xml:space="preserve"> → ERA5/AMPS energy reanalysis fills spatial/temporal holes (a core reason O1 uses melt energy, not just gauges).</w:t>
      </w:r>
    </w:p>
    <w:p>
      <w:pPr>
        <w:spacing w:after="120"/>
      </w:pPr>
      <w:r>
        <w:rPr>
          <w:rFonts w:ascii="Calibri" w:hAnsi="Calibri"/>
          <w:b/>
          <w:i w:val="0"/>
        </w:rPr>
        <w:t>Data Management Plan.</w:t>
      </w:r>
      <w:r>
        <w:rPr>
          <w:rFonts w:ascii="Calibri" w:hAnsi="Calibri"/>
          <w:b w:val="0"/>
          <w:i w:val="0"/>
        </w:rPr>
        <w:t xml:space="preserve"> All input data are free/public (NASA ATM, NCALM/OpenTopography, PGC REMA, MCM-LTER/EDI, Copernicus ERA5, AMPS/GDEX), cited per source. Derived products — change-detection rasters, per-stream rate tables, calibrated-uncertainty layers, and stream-boundary polygons — will be released open-access (DoIs via Zenodo / EDI) with the processing code (PDAL/WhiteboxTools/GDAL + Python). Heavy regenerable rasters are excluded from version control; lightweight scripts, figures, and tables are tracked. Outputs follow ASPRS/OGC standards and carry explicit CRS, method, and uncertainty metadata (per NASA open-science/trustworthy-EO guidance).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color w:val="2E5496"/>
          <w:sz w:val="24"/>
        </w:rPr>
        <w:t>References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[1] Barlow, M. C. (2026). </w:t>
      </w:r>
      <w:r>
        <w:rPr>
          <w:rFonts w:ascii="Calibri" w:hAnsi="Calibri"/>
          <w:b w:val="0"/>
          <w:i/>
        </w:rPr>
        <w:t>A Comprehensive Spatial Analysis of Stream Boundary and Geomorphological Change Detection: McMurdo Dry Valleys, Antarctica.</w:t>
      </w:r>
      <w:r>
        <w:rPr>
          <w:rFonts w:ascii="Calibri" w:hAnsi="Calibri"/>
          <w:b w:val="0"/>
          <w:i w:val="0"/>
        </w:rPr>
        <w:t xml:space="preserve"> PhD Dissertation, Dept. of Civil &amp; Environmental Engineering, University of Houston (chair: C. L. Glennie). 240 pp.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[2] Barlow, M. C., Zhu, X., &amp; Glennie, C. L. (2022). Stream Boundary Detection of a Hyper-Arid, Polar Region Using a U-Net Architecture: Taylor Valley, Antarctica. </w:t>
      </w:r>
      <w:r>
        <w:rPr>
          <w:rFonts w:ascii="Calibri" w:hAnsi="Calibri"/>
          <w:b w:val="0"/>
          <w:i/>
        </w:rPr>
        <w:t>Remote Sensing</w:t>
      </w:r>
      <w:r>
        <w:rPr>
          <w:rFonts w:ascii="Calibri" w:hAnsi="Calibri"/>
          <w:b w:val="0"/>
          <w:i w:val="0"/>
        </w:rPr>
        <w:t xml:space="preserve"> 14(1):234. doi:10.3390/rs14010234. </w:t>
      </w:r>
      <w:r>
        <w:rPr>
          <w:rFonts w:ascii="Calibri" w:hAnsi="Calibri"/>
          <w:b w:val="0"/>
          <w:i/>
        </w:rPr>
        <w:t>(Dissertation Chapter 4 — proof of concept.)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[3] Höhle, J., &amp; Höhle, M. (2009). Accuracy assessment of digital elevation models by means of robust statistical methods. </w:t>
      </w:r>
      <w:r>
        <w:rPr>
          <w:rFonts w:ascii="Calibri" w:hAnsi="Calibri"/>
          <w:b w:val="0"/>
          <w:i/>
        </w:rPr>
        <w:t>ISPRS J. Photogramm. Remote Sens.</w:t>
      </w:r>
      <w:r>
        <w:rPr>
          <w:rFonts w:ascii="Calibri" w:hAnsi="Calibri"/>
          <w:b w:val="0"/>
          <w:i w:val="0"/>
        </w:rPr>
        <w:t xml:space="preserve"> 64(4):398–406. </w:t>
      </w:r>
      <w:r>
        <w:rPr>
          <w:rFonts w:ascii="Calibri" w:hAnsi="Calibri"/>
          <w:b w:val="0"/>
          <w:i/>
        </w:rPr>
        <w:t>(NMAD / robust DEM error.)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[4] Howat, I. M., et al. (2019). The Reference Elevation Model of Antarctica (REMA). </w:t>
      </w:r>
      <w:r>
        <w:rPr>
          <w:rFonts w:ascii="Calibri" w:hAnsi="Calibri"/>
          <w:b w:val="0"/>
          <w:i/>
        </w:rPr>
        <w:t>The Cryosphere</w:t>
      </w:r>
      <w:r>
        <w:rPr>
          <w:rFonts w:ascii="Calibri" w:hAnsi="Calibri"/>
          <w:b w:val="0"/>
          <w:i w:val="0"/>
        </w:rPr>
        <w:t xml:space="preserve"> 13:665–674. </w:t>
      </w:r>
      <w:r>
        <w:rPr>
          <w:rFonts w:ascii="Calibri" w:hAnsi="Calibri"/>
          <w:b w:val="0"/>
          <w:i/>
        </w:rPr>
        <w:t>(REMA.)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[5] Ronneberger, O., Fischer, P., &amp; Brox, T. (2015). U-Net: Convolutional Networks for Biomedical Image Segmentation. </w:t>
      </w:r>
      <w:r>
        <w:rPr>
          <w:rFonts w:ascii="Calibri" w:hAnsi="Calibri"/>
          <w:b w:val="0"/>
          <w:i/>
        </w:rPr>
        <w:t>MICCAI</w:t>
      </w:r>
      <w:r>
        <w:rPr>
          <w:rFonts w:ascii="Calibri" w:hAnsi="Calibri"/>
          <w:b w:val="0"/>
          <w:i w:val="0"/>
        </w:rPr>
        <w:t xml:space="preserve"> 234–241.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[6] McMurdo Dry Valleys LTER. Stream discharge, meteorology, glacier mass-balance, and soil datasets, Environmental Data Initiative (EDI), </w:t>
      </w:r>
      <w:r>
        <w:rPr>
          <w:rFonts w:ascii="Consolas" w:hAnsi="Consolas"/>
          <w:b w:val="0"/>
          <w:i w:val="0"/>
          <w:sz w:val="18"/>
        </w:rPr>
        <w:t>knb-lter-mcm.*</w:t>
      </w:r>
      <w:r>
        <w:rPr>
          <w:rFonts w:ascii="Calibri" w:hAnsi="Calibri"/>
          <w:b w:val="0"/>
          <w:i w:val="0"/>
        </w:rPr>
        <w:t>.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[7] Hersbach, H., et al. (2020). The ERA5 global reanalysis. </w:t>
      </w:r>
      <w:r>
        <w:rPr>
          <w:rFonts w:ascii="Calibri" w:hAnsi="Calibri"/>
          <w:b w:val="0"/>
          <w:i/>
        </w:rPr>
        <w:t>Q. J. R. Meteorol. Soc.</w:t>
      </w:r>
      <w:r>
        <w:rPr>
          <w:rFonts w:ascii="Calibri" w:hAnsi="Calibri"/>
          <w:b w:val="0"/>
          <w:i w:val="0"/>
        </w:rPr>
        <w:t xml:space="preserve"> 146:1999–2049.</w:t>
      </w:r>
    </w:p>
    <w:p>
      <w:pPr>
        <w:pBdr>
          <w:bottom w:val="single" w:sz="6" w:space="1" w:color="BBBBBB"/>
        </w:pBdr>
      </w:pPr>
    </w:p>
    <w:p>
      <w:pPr>
        <w:spacing w:after="120"/>
      </w:pPr>
      <w:r>
        <w:rPr>
          <w:rFonts w:ascii="Calibri" w:hAnsi="Calibri"/>
          <w:b w:val="0"/>
          <w:i/>
        </w:rPr>
        <w:t>Draft S/T/M section. Figures generated by `barlow/build/_finesst_figures.py`. The results in §4 are preliminary feasibility studies by the FI, not funded-project deliverables. Not a submitted proposal.</w:t>
      </w:r>
    </w:p>
    <w:sectPr w:rsidR="00FC693F" w:rsidRPr="0006063C" w:rsidSect="00034616">
      <w:footerReference w:type="default" r:id="rId14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color w:val="666666"/>
        <w:sz w:val="16"/>
      </w:rPr>
      <w:t>FINESST S/T/M — MDV ephemeral-channel attribution (draft)</w:t>
      <w:tab/>
      <w:tab/>
    </w:r>
    <w:fldSimple w:instr="PAGE"/>
    <w:r>
      <w:rPr>
        <w:color w:val="666666"/>
        <w:sz w:val="16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