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sz w:val="36"/>
        </w:rPr>
        <w:t>Open Science and Data Management Plan</w:t>
      </w:r>
    </w:p>
    <w:p>
      <w:pPr>
        <w:spacing w:after="120"/>
      </w:pPr>
      <w:r>
        <w:rPr>
          <w:rFonts w:ascii="Calibri" w:hAnsi="Calibri"/>
          <w:b w:val="0"/>
          <w:i/>
        </w:rPr>
        <w:t>FINESST proposal companion document (2-page limit). Anonymized section — no names or institutional identifiers. Verify final question list against ROSES F.5 §5.1.1.3 before submission.</w:t>
      </w: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1. Data and software the project will use</w:t>
      </w:r>
    </w:p>
    <w:p>
      <w:pPr>
        <w:spacing w:after="120"/>
      </w:pPr>
      <w:r>
        <w:rPr>
          <w:rFonts w:ascii="Calibri" w:hAnsi="Calibri"/>
          <w:b w:val="0"/>
          <w:i w:val="0"/>
        </w:rPr>
        <w:t>All input data are free, public, and archived by their originating programs; nothing is purchased or restricted.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Input</w:t>
            </w:r>
          </w:p>
        </w:tc>
        <w:tc>
          <w:tcPr>
            <w:tcW w:type="dxa" w:w="3120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Archive / host</w:t>
            </w:r>
          </w:p>
        </w:tc>
        <w:tc>
          <w:tcPr>
            <w:tcW w:type="dxa" w:w="3120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Access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2001 airborne lidar DEM (NASA ATM, 2 m)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USGS ScienceBase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2014–15 airborne lidar DEM + point cloud (NCALM, 1 m)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OpenTopography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REMA satellite DEM v2 (2 m mosaic, 2021–23)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Polar Geospatial Center / AWS Open Data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Stream discharge (21 gauges), meteorology, glacier mass balance, soil climate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MCM-LTER via the Environmental Data Initiative (EDI)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Stream-channel outlines (labels)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EDI (</w:t>
            </w:r>
            <w:r>
              <w:rPr>
                <w:rFonts w:ascii="Consolas" w:hAnsi="Consolas"/>
                <w:b w:val="0"/>
                <w:i w:val="0"/>
                <w:sz w:val="15"/>
              </w:rPr>
              <w:t>knb-lter-mcm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scope)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ERA5 reanalysis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Copernicus Climate Data Store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 (free account)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AMPS Antarctic mesoscale model output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NCAR GDEX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</w:rPr>
        <w:t xml:space="preserve">One dataset in this domain is </w:t>
      </w:r>
      <w:r>
        <w:rPr>
          <w:rFonts w:ascii="Calibri" w:hAnsi="Calibri"/>
          <w:b w:val="0"/>
          <w:i/>
        </w:rPr>
        <w:t>not</w:t>
      </w:r>
      <w:r>
        <w:rPr>
          <w:rFonts w:ascii="Calibri" w:hAnsi="Calibri"/>
          <w:b w:val="0"/>
          <w:i w:val="0"/>
        </w:rPr>
        <w:t xml:space="preserve"> public: the prior dissertation's hand-digitized training tiles, held by their author. If shared, they will be used under the author's terms and </w:t>
      </w:r>
      <w:r>
        <w:rPr>
          <w:rFonts w:ascii="Calibri" w:hAnsi="Calibri"/>
          <w:b w:val="0"/>
          <w:i w:val="0"/>
        </w:rPr>
        <w:t>will not be redistributed</w:t>
      </w:r>
      <w:r>
        <w:rPr>
          <w:rFonts w:ascii="Calibri" w:hAnsi="Calibri"/>
          <w:b w:val="0"/>
          <w:i w:val="0"/>
        </w:rPr>
        <w:t xml:space="preserve">; any project products derived with them will be released in forms that do not reproduce the tiles themselves. If not shared, the project digitizes its own training set — which, unlike the original, </w:t>
      </w:r>
      <w:r>
        <w:rPr>
          <w:rFonts w:ascii="Calibri" w:hAnsi="Calibri"/>
          <w:b w:val="0"/>
          <w:i w:val="0"/>
        </w:rPr>
        <w:t>will be published</w:t>
      </w:r>
      <w:r>
        <w:rPr>
          <w:rFonts w:ascii="Calibri" w:hAnsi="Calibri"/>
          <w:b w:val="0"/>
          <w:i w:val="0"/>
        </w:rPr>
        <w:t xml:space="preserve"> (§2).</w:t>
      </w:r>
    </w:p>
    <w:p>
      <w:pPr>
        <w:spacing w:after="120"/>
      </w:pPr>
      <w:r>
        <w:rPr>
          <w:rFonts w:ascii="Calibri" w:hAnsi="Calibri"/>
          <w:b w:val="0"/>
          <w:i w:val="0"/>
        </w:rPr>
        <w:t>All processing software is open source: Python (numpy/scipy, rasterio, geopandas, PyTorch), PDAL, GDAL/OGR, and WhiteboxTools. No proprietary software is required to reproduce any result.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2. Data and software the project will produce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Product</w:t>
            </w:r>
          </w:p>
        </w:tc>
        <w:tc>
          <w:tcPr>
            <w:tcW w:type="dxa" w:w="3120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Format / standard</w:t>
            </w:r>
          </w:p>
        </w:tc>
        <w:tc>
          <w:tcPr>
            <w:tcW w:type="dxa" w:w="3120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Where released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Elevation-change (DoD) rasters, all epoch pairs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Cloud-Optimized GeoTIFF, explicit CRS (EPSG:3294), nodata and units in metadata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Zenodo (DOI per release)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Per-stream erosion/deposition rate tables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CSV with data dictionary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Zenodo; offered to EDI for co-listing with the LTER stream data they derive from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Per-pixel calibrated detection-threshold layers (O3)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Cloud-Optimized GeoTIFF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Zenodo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Stream-channel outlines + process-classified geomorphic-change maps (O2)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GeoPackage (OGC) / Cloud-Optimized GeoTIFF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Zenodo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Training labels (if self-digitized)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GeoPackage + tile rasters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Zenodo — closing the label-access gap this field currently has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Trained model weights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PyTorch checkpoint + ONNX export, with training configuration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Zenodo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Processing code (full pipeline: fetch → derivatives → detection → change → attribution)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Python, version-controlled public repository, OSI-approved license (Apache-2.0)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 repository, archived to Zenodo (DOI) at each release</w:t>
            </w:r>
          </w:p>
        </w:tc>
      </w:tr>
      <w:tr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Driver-attribution model outputs (O1)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CSV + fitted-model objects with documentation</w:t>
            </w:r>
          </w:p>
        </w:tc>
        <w:tc>
          <w:tcPr>
            <w:tcW w:type="dxa" w:w="31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Zenodo, with the O1 publication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</w:rPr>
        <w:t>Documentation standard.</w:t>
      </w:r>
      <w:r>
        <w:rPr>
          <w:rFonts w:ascii="Calibri" w:hAnsi="Calibri"/>
          <w:b w:val="0"/>
          <w:i w:val="0"/>
        </w:rPr>
        <w:t xml:space="preserve"> Every released raster/vector product carries: coordinate reference system (EPSG code), acquisition epochs and processing date, method summary, uncertainty estimate (NMAD/LOD95 or the O3 per-pixel layer), and a pointer to the exact code version (commit/DOI) that produced it.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3. When and where products are shared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Code</w:t>
      </w:r>
      <w:r>
        <w:rPr>
          <w:rFonts w:ascii="Calibri" w:hAnsi="Calibri"/>
          <w:b w:val="0"/>
          <w:i w:val="0"/>
        </w:rPr>
        <w:t>: developed in the open in a public repository from award start; released versions archived with DOIs.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Data products</w:t>
      </w:r>
      <w:r>
        <w:rPr>
          <w:rFonts w:ascii="Calibri" w:hAnsi="Calibri"/>
          <w:b w:val="0"/>
          <w:i w:val="0"/>
        </w:rPr>
        <w:t>: released no later than the publication of the paper they support, and at yearly milestones regardless of publication status (Yr 1: driver tables + Taylor Valley rates; Yr 2: cross-valley detection products; Yr 3: uncertainty layers + synthesis products).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Publications</w:t>
      </w:r>
      <w:r>
        <w:rPr>
          <w:rFonts w:ascii="Calibri" w:hAnsi="Calibri"/>
          <w:b w:val="0"/>
          <w:i w:val="0"/>
        </w:rPr>
        <w:t>: submitted to open-access venues or archived as accepted manuscripts in a public repository, consistent with SMD open-access policy.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4. Licenses</w:t>
      </w:r>
    </w:p>
    <w:p>
      <w:pPr>
        <w:spacing w:after="120"/>
      </w:pPr>
      <w:r>
        <w:rPr>
          <w:rFonts w:ascii="Calibri" w:hAnsi="Calibri"/>
          <w:b w:val="0"/>
          <w:i w:val="0"/>
        </w:rPr>
        <w:t>Data products: CC0 or CC-BY. Software: Apache-2.0. Third-party inputs remain under their original terms and are cited, not re-hosted, except where their license permits convenience copies.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5. Protections and exceptions</w:t>
      </w:r>
    </w:p>
    <w:p>
      <w:pPr>
        <w:spacing w:after="120"/>
      </w:pPr>
      <w:r>
        <w:rPr>
          <w:rFonts w:ascii="Calibri" w:hAnsi="Calibri"/>
          <w:b w:val="0"/>
          <w:i w:val="0"/>
        </w:rPr>
        <w:t>The project uses no human-subjects data, no export-controlled data, and no commercially restricted data. The single access-limited item (the author-held label tiles) is handled as described in §1: use with permission, no redistribution, and a published replacement set if the project digitizes its own.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6. Roles and oversight</w:t>
      </w:r>
    </w:p>
    <w:p>
      <w:pPr>
        <w:spacing w:after="120"/>
      </w:pPr>
      <w:r>
        <w:rPr>
          <w:rFonts w:ascii="Calibri" w:hAnsi="Calibri"/>
          <w:b w:val="0"/>
          <w:i w:val="0"/>
        </w:rPr>
        <w:t>The FI is responsible for day-to-day data management, repository hygiene, and product releases; the PI reviews each public release. Working data are stored on institutionally backed storage with an off-machine mirror; the public archives (Zenodo, EDI) provide long-term preservation beyond the award period.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7. Reproducibility commitment</w:t>
      </w:r>
    </w:p>
    <w:p>
      <w:pPr>
        <w:spacing w:after="120"/>
      </w:pPr>
      <w:r>
        <w:rPr>
          <w:rFonts w:ascii="Calibri" w:hAnsi="Calibri"/>
          <w:b w:val="0"/>
          <w:i w:val="0"/>
        </w:rPr>
        <w:t>Every number and figure in project publications will regenerate from public inputs via the released code: a single documented command sequence per product. Heavy intermediate rasters are treated as regenerable and are not archived; the scripts and small tables/figures that define them are.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6"/>
      </w:rPr>
      <w:t>Open Science and Data Management Plan</w:t>
      <w:tab/>
      <w:tab/>
    </w:r>
    <w:fldSimple w:instr="PAGE"/>
    <w:r>
      <w:rPr>
        <w:color w:val="666666"/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