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extends the measurement from the channel centerline into the near-channel corridor, and attaches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r w:rsidR="00BC2DC4"/>
      <w:r w:rsidR="00BC2DC4"/>
      <w:r/>
      <w:r w:rsidR="00BC2DC4"/>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4663440" cy="2300630"/>
                    </a:xfrm>
                    <a:prstGeom prst="rect">
                      <a:avLst/>
                    </a:prstGeom>
                  </pic:spPr>
                </pic:pic>
              </a:graphicData>
            </a:graphic>
          </wp:inline>
        </w:drawing>
      </w:r>
    </w:p>
    <w:p w14:paraId="761073F2" w14:textId="18ED8A43" w:rsidR="00887D0E" w:rsidRDefault="002963AF">
      <w:pPr>
        <w:jc w:val="center"/>
      </w:pPr>
      <w:r>
        <w:rPr>
          <w:i/>
          <w:color w:val="404040"/>
          <w:sz w:val="24"/>
        </w:rPr>
        <w:t xml:space="preserve">Figure 1. Study area. (A) The McMurdo Dry Valleys within Antarctica (coastline: Natural Earth). (B) Hillshade of the study-area lidar DEM (1 m), showing the incised valley-floor channels this project measures</w:t>
      </w:r>
      <w:r>
        <w:rPr>
          <w:i/>
          <w:color w:val="404040"/>
          <w:sz w:val="24"/>
        </w:rPr>
        <w:t xml:space="preserve">.</w:t>
      </w:r>
      <w:r>
        <w:rPr>
          <w:i/>
          <w:color w:val="404040"/>
          <w:sz w:val="24"/>
        </w:rPr>
        <w:t xml:space="preserve">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t xml:space="preserve">ML methodology </w:t>
      </w:r>
      <w:r>
        <w:t xml:space="preserve">[5] </w:t>
      </w:r>
      <w:r>
        <w:t xml:space="preserve">that finds stream channels </w:t>
      </w:r>
      <w:r>
        <w:t xml:space="preserve">using high</w:t>
      </w:r>
      <w:r>
        <w:t xml:space="preserve">-</w:t>
      </w:r>
      <w:r>
        <w:t xml:space="preserve">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 xml:space="preserve">Initial verification that repeat</w:t>
      </w:r>
      <w:r>
        <w:t xml:space="preserve">-acquisition airborne lidar and valley-</w:t>
      </w:r>
      <w:r>
        <w:t xml:space="preserve">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sz w:val="24"/>
        </w:rPr>
        <w:t>The Open Question</w:t>
      </w:r>
    </w:p>
    <w:p w14:paraId="4575E454" w14:textId="6FFA632B" w:rsidR="00627337" w:rsidRDefault="00627337" w:rsidP="00627337">
      <w:pPr>
        <w:rPr>
          <w:b/>
        </w:rPr>
      </w:pPr>
      <w:r>
        <w:t>Detecting where channels change is now feasible; explaining why is not. The open question is which climate drivers set the rate of channel change, and whether melt energy or water volume dominates. This project attributes measured stream-channel change to those drivers and attaches calibrated per-pixel uncertainty to every measurement.</w:t>
      </w:r>
      <w:r w:rsidR="003131C9"/>
      <w:r/>
      <w:r w:rsidR="003131C9"/>
      <w:r/>
      <w:r w:rsidR="003131C9"/>
      <w:r w:rsidR="003131C9"/>
      <w:r/>
      <w:r w:rsidR="003131C9"/>
      <w:r/>
      <w:commentRangeStart w:id="57"/>
      <w:r/>
      <w:commentRangeEnd w:id="57"/>
      <w:r w:rsidR="003131C9">
        <w:rPr>
          <w:rStyle w:val="CommentReference"/>
          <w:b/>
          <w:sz w:val="24"/>
          <w:szCs w:val="24"/>
        </w:rPr>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 xml:space="preserve">The </w:t>
      </w:r>
      <w:r>
        <w:t xml:space="preserve">project sits in NASA’s Earth Science Division. The closest programs are Cryospheric Sciences and Terrestrial Hydrology, and both fund work on cold-region surface change and meltwater. The </w:t>
      </w:r>
      <w:r>
        <w:t xml:space="preserve">2001 baseline is NASA data — an airborne </w:t>
      </w:r>
      <w:r>
        <w:t xml:space="preserve">lidar</w:t>
      </w:r>
      <w:r>
        <w:t xml:space="preserve"> swath never fully exploited for surface change </w:t>
      </w:r>
      <w:r>
        <w:t xml:space="preserve">[8]. The project turns the airborne lidar, REMA satellite DEMs (corrected and controlled by airborne lidar and ICESat-2 observations) and reanalysis</w:t>
      </w:r>
      <w:r>
        <w:t xml:space="preserve">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w:t>
      </w:r>
      <w:r>
        <w:t xml:space="preserve">-</w:t>
      </w:r>
      <w:r>
        <w:t xml:space="preserve">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 xml:space="preserve">Attribution. Determination of which climate drivers control each stream's rate of geomorphic change. Candidate drivers — air temperature, incoming sunlight, meltwater discharge, glacial mass balance, and summer thaw — come from the McMurdo Dry Valleys LTER network (meteorology, stream gauges, glacier mass balance, and soil climate) [6], with ERA5 [7] and AMPS reanalysis filling coverage gaps. We hypothesize that melt energy will predict </w:t>
      </w:r>
      <w:r>
        <w:t xml:space="preserve">channel change</w:t>
      </w:r>
      <w:r>
        <w:t xml:space="preserve"> better than water volume alone</w:t>
      </w:r>
      <w:r>
        <w:t xml:space="preserve"> (H1)</w:t>
      </w:r>
      <w:r>
        <w:t xml:space="preserve">. The hypothesis is testable: if discharge alone </w:t>
      </w:r>
      <w:r>
        <w:t xml:space="preserve">predicts channel migration as well as melt energy does,</w:t>
      </w:r>
      <w:r>
        <w:t xml:space="preserve"> the hypothesis fails.</w:t>
      </w:r>
      <w:r w:rsidR="00B06385"/>
      <w:r/>
      <w:commentRangeStart w:id="80"/>
      <w:r/>
      <w:r w:rsidR="00B06385"/>
      <w:r/>
      <w:commentRangeEnd w:id="80"/>
      <w:r w:rsidR="00B06385">
        <w:rPr>
          <w:rStyle w:val="CommentReference"/>
          <w:sz w:val="24"/>
          <w:szCs w:val="24"/>
        </w:rPr>
      </w:r>
      <w:r>
        <w:t xml:space="preserve">Process attribution along the stream corridor. Beyond the channel centerline, classify change in the near-channel corridor — channel shift and avulsion, bank thaw and subsidence, and fan growth — by process type. Bedrock and stable soils outside the corridor provide the fixed reference used to georeference the REMA satellite DEM to the airborne lidar, so change is measured against genuinely stable ground rather than an assumption that the whole surface is moving.</w:t>
      </w:r>
      <w:r>
        <w:t xml:space="preserve"> We expect each process type to carry its own driver fingerprint. Bank thaw should track summer thaw, channel shift should track peak discharge, and fan growth should follow both (H2). If every process type responds to the drivers the same way, the fingerprint idea fails and the classification carries no explanatory weight.</w:t>
      </w:r>
      <w:commentRangeEnd w:id="92"/>
      <w:r w:rsidR="00B06385">
        <w:rPr>
          <w:rStyle w:val="CommentReference"/>
          <w:sz w:val="24"/>
          <w:szCs w:val="24"/>
        </w:rPr>
      </w:r>
    </w:p>
    <w:p w14:paraId="256AAFA3" w14:textId="77777777" w:rsidR="005E16C2" w:rsidRDefault="005E16C2" w:rsidP="005E16C2">
      <w:pPr>
        <w:ind w:left="720"/>
      </w:pPr>
      <w:r>
        <w:t xml:space="preserve">The satellite record past 2014 exists only on the free REMA DEM, whose elevations are tricky to combine with </w:t>
      </w:r>
      <w:r>
        <w:t xml:space="preserve">lidar</w:t>
      </w:r>
      <w:r>
        <w:t xml:space="preserve">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Calibrated uncertainty. Provide a per-pixel detection threshold for slope, aspect, and sensor, in place of a single valley-wide noise value. Success test: on ground that did not change, a 95% confidence threshold should be exceeded by 5% of pixels.</w:t>
      </w:r>
      <w:commentRangeEnd w:id="93"/>
      <w:r w:rsidR="00B06385">
        <w:rPr>
          <w:rStyle w:val="CommentReference"/>
          <w:sz w:val="24"/>
          <w:szCs w:val="24"/>
        </w:rPr>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commentRangeStart w:id="94"/>
      <w:r>
        <w:rPr>
          <w:i/>
          <w:color w:val="404040"/>
          <w:sz w:val="24"/>
        </w:rPr>
        <w:t>Figure 2. Planned detection-to-attribution workflow: three DEM epochs, co-registration to airborne-lidar and ICESat-2 control, DEM-of-Difference, per-pixel detection floor, then the O1 (channel), O2 (stream-corridor), and O3 (uncertainty) objectives. Method schematic; no results shown.</w:t>
      </w:r>
      <w:commentRangeEnd w:id="94"/>
      <w:r w:rsidR="00B06385">
        <w:rPr>
          <w:rStyle w:val="CommentReference"/>
          <w:i/>
          <w:color w:val="404040"/>
          <w:sz w:val="24"/>
          <w:szCs w:val="24"/>
        </w:rPr>
      </w:r>
      <w:r>
        <w:rPr>
          <w:i/>
          <w:color w:val="404040"/>
          <w:sz w:val="24"/>
        </w:rPr>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r>
        <w:t>Objective 1 tests whether melt energy predicts channel change better than water volume alone. To test it, I measure each gauged stream's change rate: co-register the two elevation epochs (removing the median vertical offset over stable ground, with an optional ICP refinement), resample to a shared grid, difference them, keep only pixels whose change clears the detection floor (the per-pixel LOD95 threshold from objective 3), and integrate that change inside the channel outline, normalized by channel area and years elapsed to a rate in mm/yr.</w:t>
      </w:r>
    </w:p>
    <w:p w14:paraId="40B67952" w14:textId="77777777" w:rsidR="00EE4652" w:rsidRDefault="00EE4652" w:rsidP="00EE4652">
      <w:pPr>
        <w:pStyle w:val="ListParagraph"/>
        <w:numPr>
          <w:ilvl w:val="0"/>
          <w:numId w:val="5"/>
        </w:numPr>
      </w:pPr>
      <w:r>
        <w:t xml:space="preserve">Build each stream's driver history from MDV-LTER station records, filling coverage gaps with the ERA5 and AMPS weather models.</w:t>
      </w:r>
      <w:r>
        <w:t xml:space="preserve"> Some streams have no gauge and some gauges stopped recording early. For those, estimate discharge from sunlight. Fit a regression between measured discharge and the summer insolation on each gauged stream's source glacier, then apply it to the ungauged streams. That pushes the analysis past the 21 gauged streams and fills in the thin record after 2015.</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 xml:space="preserve">Apply the objective-3 per-pixel thresholds along the stream corridor and pull out each change patch as a connected group of super-threshold pixels, dropping patches below a minimum mapping unit to suppress isolated-pixel noise. Bedrock and stable soils flanking the corridor supply the fixed reference used to co-register the sensors, so change is measured against genuinely stable ground.</w:t>
      </w:r>
      <w:r>
        <w:t xml:space="preserve"> Stable ground is not a judgment call here. It is any area the channel detector marks as non-stream in every epoch, and that computed surface is the reference.</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 xml:space="preserve">As mentioned before, I measure the REMA-minus-</w:t>
      </w:r>
      <w:r>
        <w:t xml:space="preserve">lidar</w:t>
      </w:r>
      <w:r>
        <w:t xml:space="preserve"> difference over stable ground, model it against slope and aspect, and remove that bias before mixing the two sensors in any differencing.</w:t>
      </w:r>
    </w:p>
    <w:p w14:paraId="42234071" w14:textId="77777777" w:rsidR="000000FA" w:rsidRDefault="000000FA" w:rsidP="000000FA">
      <w:r>
        <w:rPr>
          <w:b/>
          <w:sz w:val="24"/>
        </w:rPr>
        <w:t xml:space="preserve">Objective 3</w:t>
      </w:r>
      <w:r>
        <w:rPr>
          <w:b/>
          <w:sz w:val="24"/>
        </w:rPr>
        <w:t xml:space="preserve">:</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 xml:space="preserve">Publish it as a per-pixel threshold map and verify the 5%-on-stable-ground property.</w:t>
      </w:r>
      <w:r>
        <w:t xml:space="preserve"> There is also a check that assumes nothing about stable ground. Difference a 2014 REMA DEM against the 2014 lidar DEM. Both map the same year, so the true change is zero. Whatever is left over is sensor error, and that is what calibrates the noise model.</w:t>
      </w:r>
      <w:commentRangeEnd w:id="95"/>
      <w:r w:rsidR="00B06385">
        <w:rPr>
          <w:rStyle w:val="CommentReference"/>
          <w:sz w:val="24"/>
          <w:szCs w:val="24"/>
        </w:rPr>
        <w:commentReference w:id="95"/>
      </w:r>
    </w:p>
    <w:p w14:paraId="08C231B4" w14:textId="77777777" w:rsidR="000000FA" w:rsidRDefault="000000FA" w:rsidP="000000FA">
      <w:r>
        <w:t xml:space="preserve">Note that all methods use robust statistics</w:t>
      </w:r>
      <w:r>
        <w:t xml:space="preserve"> [3]</w:t>
      </w:r>
      <w:r>
        <w:t xml:space="preserve">,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t xml:space="preserve">ly available</w:t>
      </w:r>
      <w:r>
        <w:t xml:space="preserv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NASA ATM via USGS ScienceBase</w:t>
            </w:r>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NCALM via OpenTopography</w:t>
            </w:r>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commentRangeEnd w:id="96"/>
            <w:r w:rsidR="00B06385">
              <w:rPr>
                <w:rStyle w:val="CommentReference"/>
                <w:sz w:val="24"/>
                <w:szCs w:val="24"/>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The prior dissertation's hand-digitized training tiles</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tc>
          <w:tcPr>
            <w:tcW w:type="dxa" w:w="3114"/>
          </w:tcPr>
          <w:p>
            <w:r>
              <w:rPr>
                <w:sz w:val="18"/>
                <w:szCs w:val="18"/>
              </w:rPr>
              <w:t>ICESat-2 elevation (external control)</w:t>
            </w:r>
          </w:p>
        </w:tc>
        <w:tc>
          <w:tcPr>
            <w:tcW w:type="dxa" w:w="3129"/>
          </w:tcPr>
          <w:p>
            <w:r>
              <w:rPr>
                <w:sz w:val="18"/>
                <w:szCs w:val="18"/>
              </w:rPr>
              <w:t>NASA NSIDC DAAC</w:t>
            </w:r>
          </w:p>
        </w:tc>
        <w:tc>
          <w:tcPr>
            <w:tcW w:type="dxa" w:w="3107"/>
          </w:tcPr>
          <w:p>
            <w:r>
              <w:rPr>
                <w:sz w:val="18"/>
                <w:szCs w:val="18"/>
              </w:rPr>
              <w:t>public, free</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A single workstation GPU trains the segmentation models, and the elevation processing is CPU-bound and modest. Free access to the host institution's high-performance computing cluster is available for any heavier batch processing, though the project does not depend on it. Raster stacks reach tens of gigabytes and need only local storage.</w:t>
      </w:r>
      <w:commentRangeEnd w:id="97"/>
      <w:r w:rsidR="00335823">
        <w:rPr>
          <w:rStyle w:val="CommentReference"/>
          <w:sz w:val="24"/>
          <w:szCs w:val="24"/>
        </w:rPr>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sz w:val="24"/>
        </w:rPr>
        <w:t>Dissemination</w:t>
      </w:r>
    </w:p>
    <w:p w14:paraId="5DCC9297" w14:textId="77777777" w:rsidR="00D830E3" w:rsidRDefault="00D830E3" w:rsidP="000000FA">
      <w:commentRangeStart w:id="98"/>
      <w:r>
        <w:t>Results will reach the cryosphere community through presentations at AGU and polar-science meetings and through open-access publications and archived data products with DOIs. Because the analysis relies only on public data, it can proceed independently.</w:t>
      </w:r>
      <w:commentRangeEnd w:id="98"/>
      <w:r w:rsidR="00335823">
        <w:rPr>
          <w:rStyle w:val="CommentReference"/>
          <w:sz w:val="24"/>
          <w:szCs w:val="24"/>
        </w:rPr>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 xml:space="preserve">The signal may be weak. With </w:t>
      </w:r>
      <w:r>
        <w:t xml:space="preserve">21</w:t>
      </w:r>
      <w:r>
        <w:t xml:space="preserve">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 xml:space="preserve">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r>
        <w:t xml:space="preserve"> The sunlight-to-discharge regression in objective 1 buys part of that back. The gauged years teach the proxy, and the proxy then covers the ungauged streams and seasons.</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t>Outside the channels, change may be too small to detect. The valley floors change slowly, so much of the surface may sit below our detection threshold. If so, objective 2 stays tight to the channel and its immediate margins, and results are reported at that scope.</w:t>
      </w:r>
    </w:p>
    <w:p w14:paraId="294436C3" w14:textId="77777777" w:rsidR="00C728D4" w:rsidRDefault="003146FF" w:rsidP="000000FA">
      <w:r>
        <w:t xml:space="preserve">Even so, the proposal is worth doing. The MDV streams are the most direct, measurable climate response in one of Earth's most stable landscapes, and the data — two </w:t>
      </w:r>
      <w:r>
        <w:t xml:space="preserve">lidar</w:t>
      </w:r>
      <w:r>
        <w:t xml:space="preserve">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r>
              <w:rPr>
                <w:rFonts w:ascii="Times New Roman" w:hAnsi="Times New Roman"/>
                <w:sz w:val="18"/>
              </w:rPr>
              <w:t>Stream-corridor process attribution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Times New Roman" w:hAnsi="Times New Roman"/>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Times New Roman" w:hAnsi="Times New Roman"/>
        </w:rPr>
      </w:pPr>
      <w:r w:rsidRPr="002963AF">
        <w:rPr>
          <w:b/>
          <w:sz w:val="32"/>
        </w:rPr>
        <w:t>Data Management and Open Science</w:t>
      </w:r>
      <w:r>
        <w:br/>
      </w:r>
      <w:r>
        <w:rPr>
          <w:rFonts w:ascii="Times New Roman" w:hAnsi="Times New Roman"/>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pPr>
        <w:spacing w:after="120"/>
      </w:pPr>
      <w:r>
        <w:rPr>
          <w:rFonts w:ascii="Times New Roman" w:hAnsi="Times New Roman"/>
        </w:rPr>
        <w:t>[1] Barlow, M. C. (2026). A Comprehensive Spatial Analysis of Stream Boundary and Geomorphological Change Detection: McMurdo Dry Valleys, Antarctica. PhD Dissertation.</w:t>
      </w:r>
      <w:r>
        <w:rPr>
          <w:rFonts w:ascii="Times New Roman" w:hAnsi="Times New Roman"/>
          <w:i/>
        </w:rPr>
      </w:r>
      <w:r>
        <w:rPr>
          <w:rFonts w:ascii="Times New Roman" w:hAnsi="Times New Roman"/>
        </w:rPr>
      </w:r>
    </w:p>
    <w:p w14:paraId="4BAC2EDF" w14:textId="77777777" w:rsidR="003146FF" w:rsidRDefault="003146FF" w:rsidP="003146FF">
      <w:pPr>
        <w:spacing w:after="120"/>
      </w:pPr>
      <w:r>
        <w:rPr>
          <w:rFonts w:ascii="Times New Roman" w:hAnsi="Times New Roman"/>
        </w:rPr>
        <w:t xml:space="preserve">[2]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278EF815" w14:textId="77777777" w:rsidR="003146FF" w:rsidRDefault="003146FF" w:rsidP="003146FF">
      <w:pPr>
        <w:spacing w:after="120"/>
      </w:pPr>
      <w:r>
        <w:rPr>
          <w:rFonts w:ascii="Times New Roman" w:hAnsi="Times New Roman"/>
        </w:rPr>
        <w:t xml:space="preserve">[3] Höhle, J., &amp; Höhle, M. (2009). Accuracy assessment of digital elevation models by means of robust statistical methods. </w:t>
      </w:r>
      <w:r>
        <w:rPr>
          <w:rFonts w:ascii="Times New Roman" w:hAnsi="Times New Roman"/>
          <w:i/>
        </w:rPr>
        <w:t>ISPRS J. Photogramm. Remote Sens.</w:t>
      </w:r>
      <w:r>
        <w:rPr>
          <w:rFonts w:ascii="Times New Roman" w:hAnsi="Times New Roman"/>
        </w:rPr>
        <w:t xml:space="preserve"> 64(4):398–406.</w:t>
      </w:r>
    </w:p>
    <w:p w14:paraId="32CFF3A7" w14:textId="77777777" w:rsidR="003146FF" w:rsidRDefault="003146FF" w:rsidP="003146FF">
      <w:pPr>
        <w:spacing w:after="120"/>
      </w:pPr>
      <w:r>
        <w:rPr>
          <w:rFonts w:ascii="Times New Roman" w:hAnsi="Times New Roman"/>
        </w:rPr>
        <w:lastRenderedPageBreak/>
        <w:t xml:space="preserve">[4]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6EC32615" w14:textId="77777777" w:rsidR="003146FF" w:rsidRDefault="003146FF" w:rsidP="003146FF">
      <w:pPr>
        <w:spacing w:after="120"/>
      </w:pPr>
      <w:r>
        <w:rPr>
          <w:rFonts w:ascii="Times New Roman" w:hAnsi="Times New Roman"/>
        </w:rPr>
        <w:t xml:space="preserve">[5] Ronneberger, O., Fischer, P., &amp; Brox, T. (2015). U-Net: Convolutional Networks for Biomedical Image Segmentation. </w:t>
      </w:r>
      <w:r>
        <w:rPr>
          <w:rFonts w:ascii="Times New Roman" w:hAnsi="Times New Roman"/>
          <w:i/>
        </w:rPr>
        <w:t>MICCAI</w:t>
      </w:r>
      <w:r>
        <w:rPr>
          <w:rFonts w:ascii="Times New Roman" w:hAnsi="Times New Roman"/>
        </w:rPr>
        <w:t xml:space="preserve"> 234–241.</w:t>
      </w:r>
    </w:p>
    <w:p w14:paraId="4F98DA5B" w14:textId="77777777" w:rsidR="003146FF" w:rsidRDefault="003146FF" w:rsidP="003146FF">
      <w:pPr>
        <w:spacing w:after="120"/>
      </w:pPr>
      <w:r>
        <w:rPr>
          <w:rFonts w:ascii="Times New Roman" w:hAnsi="Times New Roman"/>
        </w:rPr>
        <w:t xml:space="preserve">[6] McMurdo Dry Valleys LTER. Stream, meteorology, glacier, and soil datasets. Environmental Data Initiative (EDI), </w:t>
      </w:r>
      <w:r>
        <w:t>knb-lter-mcm.*</w:t>
      </w:r>
      <w:r>
        <w:rPr>
          <w:rFonts w:ascii="Times New Roman" w:hAnsi="Times New Roman"/>
        </w:rPr>
        <w:t>.</w:t>
      </w:r>
    </w:p>
    <w:p w14:paraId="35FDB019" w14:textId="77777777" w:rsidR="00D830E3" w:rsidRDefault="003146FF" w:rsidP="00C315DC">
      <w:pPr>
        <w:spacing w:after="120"/>
      </w:pPr>
      <w:r>
        <w:rPr>
          <w:rFonts w:ascii="Times New Roman" w:hAnsi="Times New Roman"/>
        </w:rPr>
        <w:t xml:space="preserve">[7] Hersbach, H., et al. (2020). The ERA5 global reanalysis. </w:t>
      </w:r>
      <w:r>
        <w:rPr>
          <w:rFonts w:ascii="Times New Roman" w:hAnsi="Times New Roman"/>
          <w:i/>
        </w:rPr>
        <w:t>Q. J. R. Meteorol. Soc.</w:t>
      </w:r>
      <w:r>
        <w:rPr>
          <w:rFonts w:ascii="Times New Roman" w:hAnsi="Times New Roman"/>
        </w:rPr>
        <w:t xml:space="preserve"> 146:1999–2049.</w:t>
      </w:r>
    </w:p>
    <w:p w14:paraId="35FDB019" w14:textId="77777777" w:rsidR="00D830E3" w:rsidRDefault="003146FF" w:rsidP="00C315DC">
      <w:pPr>
        <w:spacing w:after="120"/>
      </w:pPr>
      <w:r>
        <w:rPr>
          <w:rFonts w:ascii="Times New Roman" w:hAnsi="Times New Roman"/>
        </w:rPr>
        <w:t xml:space="preserve">[8] Schenk, T., Csatho, B., Ahn, Y., Yoon, T., Shin, S. W., &amp; Huh, K. I. (2004). DEM generation from the Antarctic </w:t>
      </w:r>
      <w:r>
        <w:rPr>
          <w:rFonts w:ascii="Times New Roman" w:hAnsi="Times New Roman"/>
        </w:rPr>
        <w:t xml:space="preserve">LiDAR</w:t>
      </w:r>
      <w:r>
        <w:rPr>
          <w:rFonts w:ascii="Times New Roman" w:hAnsi="Times New Roman"/>
        </w:rPr>
        <w:t xml:space="preserve"> data: Site report. US Geological Survey.</w:t>
      </w:r>
      <w:r>
        <w:rPr>
          <w:rFonts w:ascii="Times New Roman" w:hAnsi="Times New Roman"/>
          <w:i/>
        </w:rPr>
      </w:r>
      <w:r>
        <w:rPr>
          <w:rFonts w:ascii="Times New Roman" w:hAnsi="Times New Roman"/>
        </w:rPr>
      </w:r>
    </w:p>
    <w:p w14:paraId="35FDB019" w14:textId="77777777" w:rsidR="00D830E3" w:rsidRDefault="003146FF" w:rsidP="00C315DC">
      <w:pPr>
        <w:spacing w:after="120"/>
      </w:pPr>
      <w:r>
        <w:rPr>
          <w:rFonts w:ascii="Times New Roman" w:hAnsi="Times New Roman"/>
        </w:rPr>
        <w:t xml:space="preserve">[9] Fountain, A. G., et al. (1999). Physical controls on the Taylor Valley ecosystem, Antarctica. BioScience 49(12):961</w:t>
      </w:r>
      <w:r>
        <w:rPr>
          <w:rFonts w:ascii="Times New Roman" w:hAnsi="Times New Roman"/>
        </w:rPr>
        <w:t xml:space="preserve">–</w:t>
      </w:r>
      <w:r>
        <w:rPr>
          <w:rFonts w:ascii="Times New Roman" w:hAnsi="Times New Roman"/>
        </w:rPr>
        <w:t xml:space="preserve">971.</w:t>
      </w:r>
      <w:r>
        <w:rPr>
          <w:rFonts w:ascii="Times New Roman" w:hAnsi="Times New Roman"/>
          <w:i/>
        </w:rPr>
      </w:r>
      <w:r>
        <w:rPr>
          <w:rFonts w:ascii="Times New Roman" w:hAnsi="Times New Roman"/>
        </w:rPr>
      </w: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
  <cp:revision>17</cp:revision>
  <dcterms:created xsi:type="dcterms:W3CDTF">2026-07-06T13:13:00Z</dcterms:created>
  <dcterms:modified xsi:type="dcterms:W3CDTF">2026-07-09T00:43:00Z</dcterms:modified>
</cp:coreProperties>
</file>