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w:t>
      </w:r>
      <w:proofErr w:type="spellStart"/>
      <w:r>
        <w:rPr>
          <w:i/>
          <w:color w:val="404040"/>
          <w:sz w:val="24"/>
        </w:rPr>
        <w:t>Hillshade</w:t>
      </w:r>
      <w:proofErr w:type="spellEnd"/>
      <w:r>
        <w:rPr>
          <w:i/>
          <w:color w:val="404040"/>
          <w:sz w:val="24"/>
        </w:rPr>
        <w:t xml:space="preserve"> of the study-area </w:t>
      </w:r>
      <w:proofErr w:type="spellStart"/>
      <w:r>
        <w:rPr>
          <w:i/>
          <w:color w:val="404040"/>
          <w:sz w:val="24"/>
        </w:rPr>
        <w:t>lidar</w:t>
      </w:r>
      <w:proofErr w:type="spellEnd"/>
      <w:r>
        <w:rPr>
          <w:i/>
          <w:color w:val="404040"/>
          <w:sz w:val="24"/>
        </w:rPr>
        <w:t xml:space="preserve"> DEM (1 m), showing the incised valley-floor channels this project measures</w:t>
      </w:r>
      <w:del w:id="200" w:author="Colton Goodrich" w:date="2026-07-09T12:00:00Z">
        <w:r>
          <w:rPr>
            <w:i/>
            <w:color w:val="404040"/>
            <w:sz w:val="24"/>
          </w:rPr>
          <w:delText xml:space="preserve">;</w:delText>
        </w:r>
      </w:del>
      <w:ins w:id="202" w:author="Colton Goodrich" w:date="2026-07-09T12:00:00Z">
        <w:r>
          <w:rPr>
            <w:i/>
            <w:color w:val="404040"/>
            <w:sz w:val="24"/>
          </w:rPr>
          <w:t xml:space="preserve">.</w:t>
        </w:r>
      </w:ins>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4"/>
          <w:szCs w:val="24"/>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project sits in NASA’s Earth Science Division. The closest programs are Cryospheric Sciences and Terrestrial Hydrology, and both fund work on cold-region surface change and meltwater.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melt energy does,</w:t>
        </w:r>
      </w:ins>
      <w:r>
        <w:t xml:space="preserve"> the hypothesis fails.</w:t>
      </w:r>
      <w:commentRangeStart w:id="14"/>
      <w:commentRangeEnd w:id="14"/>
      <w:r w:rsidR="00B06385">
        <w:rPr>
          <w:rStyle w:val="CommentReference"/>
          <w:sz w:val="24"/>
          <w:szCs w:val="24"/>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so change is measured against genuinely stable ground rather than an assumption that the whole surface is moving.</w:t>
        </w:r>
      </w:ins>
      <w:commentRangeEnd w:id="15"/>
      <w:r w:rsidR="00B06385">
        <w:rPr>
          <w:rStyle w:val="CommentReference"/>
          <w:sz w:val="24"/>
          <w:szCs w:val="24"/>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4"/>
          <w:szCs w:val="24"/>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23"/>
      <w:r>
        <w:rPr>
          <w:i/>
          <w:color w:val="404040"/>
          <w:sz w:val="24"/>
        </w:rPr>
        <w:t xml:space="preserve">Figure 2. Planned detection-to-attribution workflow: three DEM epochs, </w:t>
      </w:r>
      <w:del w:id="24" w:author="Colton Goodrich" w:date="2026-07-09T12:00:00Z">
        <w:r>
          <w:rPr>
            <w:i/>
            <w:color w:val="404040"/>
            <w:sz w:val="24"/>
          </w:rPr>
          <w:delText>co-registration,</w:delText>
        </w:r>
      </w:del>
      <w:ins w:id="25" w:author="Colton Goodrich" w:date="2026-07-09T12:00:00Z">
        <w:r>
          <w:rPr>
            <w:i/>
            <w:color w:val="404040"/>
            <w:sz w:val="24"/>
          </w:rPr>
          <w:t>co-registration to airborne-</w:t>
        </w:r>
        <w:proofErr w:type="spellStart"/>
        <w:r>
          <w:rPr>
            <w:i/>
            <w:color w:val="404040"/>
            <w:sz w:val="24"/>
          </w:rPr>
          <w:t>lidar</w:t>
        </w:r>
        <w:proofErr w:type="spellEnd"/>
        <w:r>
          <w:rPr>
            <w:i/>
            <w:color w:val="404040"/>
            <w:sz w:val="24"/>
          </w:rPr>
          <w:t xml:space="preserve"> and ICESat-2 control,</w:t>
        </w:r>
      </w:ins>
      <w:r>
        <w:rPr>
          <w:i/>
          <w:color w:val="404040"/>
          <w:sz w:val="24"/>
        </w:rPr>
        <w:t xml:space="preserve"> DEM-of-Difference, per-pixel detection floor, then the O1 (channel), O2 </w:t>
      </w:r>
      <w:del w:id="26" w:author="Colton Goodrich" w:date="2026-07-09T12:00:00Z">
        <w:r>
          <w:rPr>
            <w:i/>
            <w:color w:val="404040"/>
            <w:sz w:val="24"/>
          </w:rPr>
          <w:delText>(valley-floor),</w:delText>
        </w:r>
      </w:del>
      <w:ins w:id="27" w:author="Colton Goodrich" w:date="2026-07-09T12:00:00Z">
        <w:r>
          <w:rPr>
            <w:i/>
            <w:color w:val="404040"/>
            <w:sz w:val="24"/>
          </w:rPr>
          <w:t>(stream-corridor),</w:t>
        </w:r>
      </w:ins>
      <w:r>
        <w:rPr>
          <w:i/>
          <w:color w:val="404040"/>
          <w:sz w:val="24"/>
        </w:rPr>
        <w:t xml:space="preserve"> and O3 (uncertainty) objectives. Method schematic; no results shown.</w:t>
      </w:r>
      <w:commentRangeEnd w:id="23"/>
      <w:r w:rsidR="00B06385">
        <w:rPr>
          <w:rStyle w:val="CommentReference"/>
          <w:i/>
          <w:color w:val="404040"/>
          <w:sz w:val="24"/>
          <w:szCs w:val="24"/>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 xml:space="preserve">Build each stream's driver history from MDV-LTER station records, filling coverage gaps with the ERA5 and AMPS weather models.</w:t>
      </w:r>
      <w:ins w:id="300" w:author="Colton Goodrich" w:date="2026-07-09T15:30:00Z">
        <w:r>
          <w:t xml:space="preserve"> Some streams have no gauge and some gauges stopped recording early. For those, estimate discharge from sunlight. Fit a regression between measured discharge and the summer insolation on each gauged stream's source glacier, then apply it to the ungauged streams. That pushes the analysis past the 21 gauged streams and fills in the thin record after 2015.</w:t>
        </w:r>
      </w:ins>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 xml:space="preserve">noise. Bedrock and stable soils flanking the corridor supply the fixed reference used to co-register the sensors, so change is measured against genuinely stable ground.</w:t>
        </w:r>
        <w:ins w:id="301" w:author="Colton Goodrich" w:date="2026-07-09T15:30:00Z">
          <w:r>
            <w:t xml:space="preserve"> Stable ground is not a judgment call here. It is any area the channel detector marks as non-stream in every epoch, and that computed surface is the reference.</w:t>
          </w:r>
        </w:ins>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 xml:space="preserve">Publish it as a per-pixel threshold map and verify the 5%-on-stable-ground property.</w:t>
      </w:r>
      <w:ins w:id="302" w:author="Colton Goodrich" w:date="2026-07-09T15:30:00Z">
        <w:r>
          <w:t xml:space="preserve"> There is also a check that assumes nothing about stable ground. Difference a 2014 REMA DEM against the 2014 lidar DEM. Both map the same year, so the true change is zero. Whatever is left over is sensor error, and that is what calibrates the noise model.</w:t>
        </w:r>
      </w:ins>
      <w:commentRangeEnd w:id="28"/>
      <w:r w:rsidR="00B06385">
        <w:rPr>
          <w:rStyle w:val="CommentReference"/>
          <w:sz w:val="24"/>
          <w:szCs w:val="24"/>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lastRenderedPageBreak/>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 xml:space="preserve">2001 airborne </w:t>
            </w:r>
            <w:proofErr w:type="spellStart"/>
            <w:r>
              <w:rPr>
                <w:rFonts w:ascii="Times New Roman" w:hAnsi="Times New Roman"/>
                <w:sz w:val="18"/>
              </w:rPr>
              <w:t>lidar</w:t>
            </w:r>
            <w:proofErr w:type="spellEnd"/>
            <w:r>
              <w:rPr>
                <w:rFonts w:ascii="Times New Roman" w:hAnsi="Times New Roman"/>
                <w:sz w:val="18"/>
              </w:rPr>
              <w:t xml:space="preserve"> DEM (2 m)</w:t>
            </w:r>
          </w:p>
        </w:tc>
        <w:tc>
          <w:tcPr>
            <w:tcW w:w="3216" w:type="dxa"/>
          </w:tcPr>
          <w:p w14:paraId="798FA9B0" w14:textId="77777777" w:rsidR="003A210A" w:rsidRDefault="003A210A" w:rsidP="00FE7746">
            <w:pPr>
              <w:spacing w:after="20"/>
            </w:pPr>
            <w:r>
              <w:rPr>
                <w:rFonts w:ascii="Times New Roman" w:hAnsi="Times New Roman"/>
                <w:sz w:val="18"/>
              </w:rPr>
              <w:t xml:space="preserve">NASA ATM via USGS </w:t>
            </w:r>
            <w:proofErr w:type="spellStart"/>
            <w:r>
              <w:rPr>
                <w:rFonts w:ascii="Times New Roman" w:hAnsi="Times New Roman"/>
                <w:sz w:val="18"/>
              </w:rPr>
              <w:t>ScienceBase</w:t>
            </w:r>
            <w:proofErr w:type="spellEnd"/>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 xml:space="preserve">2014 airborne </w:t>
            </w:r>
            <w:proofErr w:type="spellStart"/>
            <w:r>
              <w:rPr>
                <w:rFonts w:ascii="Times New Roman" w:hAnsi="Times New Roman"/>
                <w:sz w:val="18"/>
              </w:rPr>
              <w:t>lidar</w:t>
            </w:r>
            <w:proofErr w:type="spellEnd"/>
            <w:r>
              <w:rPr>
                <w:rFonts w:ascii="Times New Roman" w:hAnsi="Times New Roman"/>
                <w:sz w:val="18"/>
              </w:rPr>
              <w:t xml:space="preserve"> DEM (1 m) + point cloud</w:t>
            </w:r>
          </w:p>
        </w:tc>
        <w:tc>
          <w:tcPr>
            <w:tcW w:w="3216" w:type="dxa"/>
          </w:tcPr>
          <w:p w14:paraId="37FABFA3" w14:textId="77777777" w:rsidR="003A210A" w:rsidRDefault="003A210A" w:rsidP="00FE7746">
            <w:pPr>
              <w:spacing w:after="20"/>
            </w:pPr>
            <w:r>
              <w:rPr>
                <w:rFonts w:ascii="Times New Roman" w:hAnsi="Times New Roman"/>
                <w:sz w:val="18"/>
              </w:rPr>
              <w:t xml:space="preserve">NCALM via </w:t>
            </w:r>
            <w:proofErr w:type="spellStart"/>
            <w:r>
              <w:rPr>
                <w:rFonts w:ascii="Times New Roman" w:hAnsi="Times New Roman"/>
                <w:sz w:val="18"/>
              </w:rPr>
              <w:t>OpenTopography</w:t>
            </w:r>
            <w:proofErr w:type="spellEnd"/>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w:t>
            </w:r>
            <w:bookmarkStart w:id="50" w:name="_GoBack"/>
            <w:bookmarkEnd w:id="50"/>
            <w:r>
              <w:rPr>
                <w:rFonts w:ascii="Times New Roman" w:hAnsi="Times New Roman"/>
                <w:sz w:val="18"/>
              </w:rPr>
              <w:t>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51"/>
            <w:r w:rsidR="00B06385">
              <w:rPr>
                <w:rStyle w:val="CommentReference"/>
                <w:sz w:val="24"/>
                <w:szCs w:val="24"/>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4"/>
          <w:szCs w:val="24"/>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4"/>
          <w:szCs w:val="24"/>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 xml:space="preserve">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ins w:id="303" w:author="Colton Goodrich" w:date="2026-07-09T15:30:00Z">
        <w:r>
          <w:t xml:space="preserve"> The sunlight-to-discharge regression in objective 1 buys part of that back. The gauged years teach the proxy, and the proxy then covers the ungauged streams and seasons.</w:t>
        </w:r>
      </w:ins>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77" w:author="Colton Goodrich" w:date="2026-07-09T12:00:00Z">
              <w:r>
                <w:rPr>
                  <w:rFonts w:ascii="Times New Roman" w:hAnsi="Times New Roman"/>
                  <w:sz w:val="18"/>
                </w:rPr>
                <w:delText>Landscape-wide change detection + process-type classification</w:delText>
              </w:r>
            </w:del>
            <w:ins w:id="78"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w:t>
      </w:r>
      <w:proofErr w:type="spellStart"/>
      <w:r>
        <w:rPr>
          <w:rFonts w:ascii="Times New Roman" w:hAnsi="Times New Roman"/>
        </w:rPr>
        <w:t>OpenTopography</w:t>
      </w:r>
      <w:proofErr w:type="spellEnd"/>
      <w:r>
        <w:rPr>
          <w:rFonts w:ascii="Times New Roman" w:hAnsi="Times New Roman"/>
        </w:rPr>
        <w:t xml:space="preserve">, PGC REMA, MCM-LTER/EDI, Copernicus ERA5, AMPS/GDEX). All derived products — change </w:t>
      </w:r>
      <w:proofErr w:type="spellStart"/>
      <w:r>
        <w:rPr>
          <w:rFonts w:ascii="Times New Roman" w:hAnsi="Times New Roman"/>
        </w:rPr>
        <w:t>rasters</w:t>
      </w:r>
      <w:proofErr w:type="spellEnd"/>
      <w:r>
        <w:rPr>
          <w:rFonts w:ascii="Times New Roman" w:hAnsi="Times New Roman"/>
        </w:rPr>
        <w:t>, process-classified change maps, per-stream rate tables, uncertainty layers, channel outlines, and processing code — will be released open-access with DOIs (</w:t>
      </w:r>
      <w:proofErr w:type="spellStart"/>
      <w:r>
        <w:rPr>
          <w:rFonts w:ascii="Times New Roman" w:hAnsi="Times New Roman"/>
        </w:rPr>
        <w:t>Zenodo</w:t>
      </w:r>
      <w:proofErr w:type="spellEnd"/>
      <w:r>
        <w:rPr>
          <w:rFonts w:ascii="Times New Roman" w:hAnsi="Times New Roman"/>
        </w:rPr>
        <w:t xml:space="preserve"> / EDI). Heavy </w:t>
      </w:r>
      <w:proofErr w:type="spellStart"/>
      <w:r>
        <w:rPr>
          <w:rFonts w:ascii="Times New Roman" w:hAnsi="Times New Roman"/>
        </w:rPr>
        <w:t>regenerable</w:t>
      </w:r>
      <w:proofErr w:type="spellEnd"/>
      <w:r>
        <w:rPr>
          <w:rFonts w:ascii="Times New Roman" w:hAnsi="Times New Roman"/>
        </w:rPr>
        <w:t xml:space="preserve"> </w:t>
      </w:r>
      <w:proofErr w:type="spellStart"/>
      <w:r>
        <w:rPr>
          <w:rFonts w:ascii="Times New Roman" w:hAnsi="Times New Roman"/>
        </w:rPr>
        <w:t>rasters</w:t>
      </w:r>
      <w:proofErr w:type="spellEnd"/>
      <w:r>
        <w:rPr>
          <w:rFonts w:ascii="Times New Roman" w:hAnsi="Times New Roman"/>
        </w:rPr>
        <w:t xml:space="preserve"> stay out of version control; </w:t>
      </w:r>
      <w:r>
        <w:rPr>
          <w:rFonts w:ascii="Times New Roman" w:hAnsi="Times New Roman"/>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w:t>
      </w:r>
      <w:proofErr w:type="spellStart"/>
      <w:r>
        <w:rPr>
          <w:rFonts w:ascii="Times New Roman" w:hAnsi="Times New Roman"/>
        </w:rPr>
        <w:t>Höhle</w:t>
      </w:r>
      <w:proofErr w:type="spellEnd"/>
      <w:r>
        <w:rPr>
          <w:rFonts w:ascii="Times New Roman" w:hAnsi="Times New Roman"/>
        </w:rPr>
        <w:t xml:space="preserve">, J., &amp; </w:t>
      </w:r>
      <w:proofErr w:type="spellStart"/>
      <w:r>
        <w:rPr>
          <w:rFonts w:ascii="Times New Roman" w:hAnsi="Times New Roman"/>
        </w:rPr>
        <w:t>Höhle</w:t>
      </w:r>
      <w:proofErr w:type="spellEnd"/>
      <w:r>
        <w:rPr>
          <w:rFonts w:ascii="Times New Roman" w:hAnsi="Times New Roman"/>
        </w:rPr>
        <w:t xml:space="preserve">, M. (2009). Accuracy assessment of digital elevation models by means of robust statistical methods. </w:t>
      </w:r>
      <w:r>
        <w:rPr>
          <w:rFonts w:ascii="Times New Roman" w:hAnsi="Times New Roman"/>
          <w:i/>
        </w:rPr>
        <w:t xml:space="preserve">ISPRS J. </w:t>
      </w:r>
      <w:proofErr w:type="spellStart"/>
      <w:r>
        <w:rPr>
          <w:rFonts w:ascii="Times New Roman" w:hAnsi="Times New Roman"/>
          <w:i/>
        </w:rPr>
        <w:t>Photogramm</w:t>
      </w:r>
      <w:proofErr w:type="spellEnd"/>
      <w:r>
        <w:rPr>
          <w:rFonts w:ascii="Times New Roman" w:hAnsi="Times New Roman"/>
          <w:i/>
        </w:rPr>
        <w:t>.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w:t>
      </w:r>
      <w:proofErr w:type="spellStart"/>
      <w:r>
        <w:rPr>
          <w:rFonts w:ascii="Times New Roman" w:hAnsi="Times New Roman"/>
        </w:rPr>
        <w:t>Ronneberger</w:t>
      </w:r>
      <w:proofErr w:type="spellEnd"/>
      <w:r>
        <w:rPr>
          <w:rFonts w:ascii="Times New Roman" w:hAnsi="Times New Roman"/>
        </w:rPr>
        <w:t xml:space="preserve">, O., Fischer, P., &amp; </w:t>
      </w:r>
      <w:proofErr w:type="spellStart"/>
      <w:r>
        <w:rPr>
          <w:rFonts w:ascii="Times New Roman" w:hAnsi="Times New Roman"/>
        </w:rPr>
        <w:t>Brox</w:t>
      </w:r>
      <w:proofErr w:type="spellEnd"/>
      <w:r>
        <w:rPr>
          <w:rFonts w:ascii="Times New Roman" w:hAnsi="Times New Roman"/>
        </w:rPr>
        <w:t xml:space="preserve">,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w:t>
      </w:r>
      <w:proofErr w:type="spellStart"/>
      <w:r>
        <w:rPr>
          <w:rFonts w:ascii="Times New Roman" w:hAnsi="Times New Roman"/>
        </w:rPr>
        <w:t>Hersbach</w:t>
      </w:r>
      <w:proofErr w:type="spellEnd"/>
      <w:r>
        <w:rPr>
          <w:rFonts w:ascii="Times New Roman" w:hAnsi="Times New Roman"/>
        </w:rPr>
        <w:t xml:space="preserve">, H., et al. (2020). The ERA5 global reanalysis. </w:t>
      </w:r>
      <w:r>
        <w:rPr>
          <w:rFonts w:ascii="Times New Roman" w:hAnsi="Times New Roman"/>
          <w:i/>
        </w:rPr>
        <w:t xml:space="preserve">Q. J. R. </w:t>
      </w:r>
      <w:proofErr w:type="spellStart"/>
      <w:r>
        <w:rPr>
          <w:rFonts w:ascii="Times New Roman" w:hAnsi="Times New Roman"/>
          <w:i/>
        </w:rPr>
        <w:t>Meteorol</w:t>
      </w:r>
      <w:proofErr w:type="spellEnd"/>
      <w:r>
        <w:rPr>
          <w:rFonts w:ascii="Times New Roman" w:hAnsi="Times New Roman"/>
          <w:i/>
        </w:rPr>
        <w:t>. Soc.</w:t>
      </w:r>
      <w:r>
        <w:rPr>
          <w:rFonts w:ascii="Times New Roman" w:hAnsi="Times New Roman"/>
        </w:rPr>
        <w:t xml:space="preserve"> 146:1999–2049.</w:t>
      </w:r>
    </w:p>
    <w:p w14:paraId="11CEA899" w14:textId="77777777" w:rsidR="00D830E3" w:rsidRDefault="003146FF" w:rsidP="00C315DC">
      <w:pPr>
        <w:spacing w:after="120"/>
      </w:pPr>
      <w:r>
        <w:rPr>
          <w:rFonts w:ascii="Times New Roman" w:hAnsi="Times New Roman"/>
        </w:rPr>
        <w:t xml:space="preserve">[8] Schenk, T., </w:t>
      </w:r>
      <w:proofErr w:type="spellStart"/>
      <w:r>
        <w:rPr>
          <w:rFonts w:ascii="Times New Roman" w:hAnsi="Times New Roman"/>
        </w:rPr>
        <w:t>Csatho</w:t>
      </w:r>
      <w:proofErr w:type="spellEnd"/>
      <w:r>
        <w:rPr>
          <w:rFonts w:ascii="Times New Roman" w:hAnsi="Times New Roman"/>
        </w:rPr>
        <w:t xml:space="preserve">, B., </w:t>
      </w:r>
      <w:proofErr w:type="spellStart"/>
      <w:r>
        <w:rPr>
          <w:rFonts w:ascii="Times New Roman" w:hAnsi="Times New Roman"/>
        </w:rPr>
        <w:t>Ahn</w:t>
      </w:r>
      <w:proofErr w:type="spellEnd"/>
      <w:r>
        <w:rPr>
          <w:rFonts w:ascii="Times New Roman" w:hAnsi="Times New Roman"/>
        </w:rPr>
        <w:t xml:space="preserve">,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p>
    <w:p w14:paraId="4026A84F" w14:textId="77777777" w:rsidR="00D830E3" w:rsidRDefault="003146FF" w:rsidP="00C315DC">
      <w:pPr>
        <w:spacing w:after="120"/>
      </w:pPr>
      <w:r>
        <w:rPr>
          <w:rFonts w:ascii="Times New Roman" w:hAnsi="Times New Roman"/>
        </w:rPr>
        <w:t xml:space="preserve">[9] Fountain, A. G., et al. (1999). Physical controls on the Taylor Valley ecosystem, Antarctica. </w:t>
      </w:r>
      <w:proofErr w:type="spellStart"/>
      <w:r>
        <w:rPr>
          <w:rFonts w:ascii="Times New Roman" w:hAnsi="Times New Roman"/>
        </w:rPr>
        <w:t>BioScience</w:t>
      </w:r>
      <w:proofErr w:type="spellEnd"/>
      <w:r>
        <w:rPr>
          <w:rFonts w:ascii="Times New Roman" w:hAnsi="Times New Roman"/>
        </w:rPr>
        <w:t xml:space="preserve"> 49(12):961</w:t>
      </w:r>
      <w:del w:id="260" w:author="Colton Goodrich" w:date="2026-07-09T12:00:00Z">
        <w:r>
          <w:rPr>
            <w:rFonts w:ascii="Times New Roman" w:hAnsi="Times New Roman"/>
          </w:rPr>
          <w:delText xml:space="preserve">-</w:delText>
        </w:r>
      </w:del>
      <w:ins w:id="262" w:author="Colton Goodrich" w:date="2026-07-09T12:00:00Z">
        <w:r>
          <w:rPr>
            <w:rFonts w:ascii="Times New Roman" w:hAnsi="Times New Roman"/>
          </w:rPr>
          <w:t xml:space="preserve">–</w:t>
        </w:r>
      </w:ins>
      <w:r>
        <w:rPr>
          <w:rFonts w:ascii="Times New Roman" w:hAnsi="Times New Roman"/>
        </w:rPr>
        <w:t xml:space="preserve">971.</w:t>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