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each Antarctic stream is reshaping its channel, then explain that rate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and already downloaded and organized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which is why O2 (making it interchangeable with lidar)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already produced the Fig. 5 signal</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(used in every per-stream number here)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§7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The discharge relationship in Fig. 5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prior work (§6)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5. Preliminary results</w:t>
      </w:r>
    </w:p>
    <w:p>
      <w:pPr>
        <w:spacing w:after="120"/>
      </w:pPr>
      <w:r>
        <w:rPr>
          <w:rFonts w:ascii="Calibri" w:hAnsi="Calibri"/>
          <w:b w:val="0"/>
          <w:i w:val="0"/>
        </w:rPr>
        <w:t xml:space="preserve">The change-detection foundation this project builds on already works. Rebuilding Barlow's pipeline on Taylor Valley reproduces results </w:t>
      </w:r>
      <w:r>
        <w:rPr>
          <w:rFonts w:ascii="Calibri" w:hAnsi="Calibri"/>
          <w:b w:val="0"/>
          <w:i w:val="0"/>
        </w:rPr>
        <w:t>inside her published ranges</w:t>
      </w:r>
      <w:r>
        <w:rPr>
          <w:rFonts w:ascii="Calibri" w:hAnsi="Calibri"/>
          <w:b w:val="0"/>
          <w:i w:val="0"/>
        </w:rPr>
        <w:t xml:space="preserve"> (below), and a first driver analysis surfaces the attribution signal that O1 develops.</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over the same Taylor Valley stream-corridor window, showing only changes above the noise floor. Left: 2001→2014 (lidar vs lidar). Right: 2014→2021-23 (lidar vs REMA). Red is erosion, blue is deposition. The big flat patch on the left is Lake Fryxell rising ~1.5 m, real change, but water, so an automated screen detects flat water surfaces and drops them from every stream rate.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reported as mm/yr over the channel area rather than raw volume. Gross is total activity (erosion plus deposition); net is the balance (positive = building up, negative = wearing down). Area-normalizing matters because the two epochs don't cover identical footprints (the 2001 lidar swath is narrower), so raw volumes would mix real change with coverage differences.</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Each stream's rate against its mean gauged melt discharge (lake signal screened out). In the lidar epoch the per-area rate scales strongly with discharge, </w:t>
      </w:r>
      <w:r>
        <w:rPr>
          <w:rFonts w:ascii="Calibri" w:hAnsi="Calibri"/>
          <w:b w:val="0"/>
          <w:i/>
        </w:rPr>
        <w:t>r = +0.95 (p = 0.004), Spearman ρ = +0.94 (p = 0.005)</w:t>
      </w:r>
      <w:r>
        <w:rPr>
          <w:rFonts w:ascii="Calibri" w:hAnsi="Calibri"/>
          <w:b w:val="0"/>
          <w:i/>
        </w:rPr>
        <w:t xml:space="preserve">, and dropping any single stream doesn't break it. In the satellite epoch there's no coherent relation, because post-2015 gauge records are thin (as few as 48 gauged days for one stream), so no fit is drawn. That contrast is the case for O1: where gauges are dense the melt–sediment link is strong, so the project swaps patchy gauge data for </w:t>
      </w:r>
      <w:r>
        <w:rPr>
          <w:rFonts w:ascii="Calibri" w:hAnsi="Calibri"/>
          <w:b w:val="0"/>
          <w:i/>
        </w:rPr>
        <w:t>modeled melt energy</w:t>
      </w:r>
      <w:r>
        <w:rPr>
          <w:rFonts w:ascii="Calibri" w:hAnsi="Calibri"/>
          <w:b w:val="0"/>
          <w:i/>
        </w:rPr>
        <w:t xml:space="preserve"> (PDD / insolation / thaw) that exists everywhere, every year.</w:t>
      </w:r>
    </w:p>
    <w:p>
      <w:pPr>
        <w:pBdr>
          <w:bottom w:val="single" w:sz="6" w:space="1" w:color="BBBBBB"/>
        </w:pBdr>
      </w:pPr>
    </w:p>
    <w:p>
      <w:pPr>
        <w:spacing w:before="140" w:after="60"/>
      </w:pPr>
      <w:r>
        <w:rPr>
          <w:rFonts w:ascii="Calibri" w:hAnsi="Calibri"/>
          <w:b/>
          <w:i w:val="0"/>
          <w:sz w:val="24"/>
        </w:rPr>
        <w:t>6. Why I'm positioned to do this</w:t>
      </w:r>
    </w:p>
    <w:p>
      <w:pPr>
        <w:spacing w:after="120"/>
      </w:pPr>
      <w:r>
        <w:rPr>
          <w:rFonts w:ascii="Calibri" w:hAnsi="Calibri"/>
          <w:b w:val="0"/>
          <w:i w:val="0"/>
        </w:rPr>
        <w:t>I've built and run this exact machinery (U-Net segmentation on terrain layers, ICP alignment, DoD change detection) on a very different landscape: detecting channels, roads, and disturbance scars in the Appalachian Plateau from elevation alone. That shows the approach transfers across sensors and biomes, which is precisely O2's risk, and that I can operate the full pipeline end to end.</w:t>
      </w: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my prior work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Stream Change in Antarctica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