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extends the measurement from the channel centerline into the near-channel corridor,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Hillshade of the study-area LiDAR DEM (1 m), showing the incised valley-floor channels this project measures;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rsidR="00BC2DC4">
        <w:t xml:space="preserve">ML methodology </w:t>
      </w:r>
      <w:r>
        <w:t xml:space="preserve">that finds stream channels </w:t>
      </w:r>
      <w:r w:rsidR="00BC2DC4">
        <w:t>using high 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Initial verification that repeat acquisition and valley 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sz w:val="24"/>
        </w:rPr>
        <w:t>The Open Question</w:t>
      </w:r>
    </w:p>
    <w:p w14:paraId="4575E454" w14:textId="6FFA632B" w:rsidR="00627337" w:rsidRDefault="00627337" w:rsidP="00627337">
      <w:pPr>
        <w:rPr>
          <w:b/>
        </w:rPr>
      </w:pPr>
      <w:r>
        <w:t>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r w:rsidR="003131C9"/>
      <w:r/>
      <w:r w:rsidR="003131C9"/>
      <w:r/>
      <w:r w:rsidR="003131C9"/>
      <w:r w:rsidR="003131C9"/>
      <w:r/>
      <w:r w:rsidR="003131C9"/>
      <w:r/>
      <w:commentRangeStart w:id="57"/>
      <w:r/>
      <w:commentRangeEnd w:id="57"/>
      <w:r w:rsidR="003131C9">
        <w:rPr>
          <w:rStyle w:val="CommentReference"/>
          <w:b/>
          <w:sz w:val="22"/>
          <w:szCs w:val="22"/>
        </w:rPr>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The 2001 baseline is NASA data — an airborne LiDAR swath never fully exploited for surface change – reference for this as well [8]. The project turns the airborne LiDAR, REMA satellite DEMs (corrected and controlled by airborne LiDAR and ICESat-2 observations) and reanalysis,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 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Attribution. Determination of  which climate drivers control each stream's rate of geomorphic change. Candidate drivers — drawn from MDV-LTER station records [6] and the ERA5 reanalysis [7] — are air temperature, incoming sunlight, meltwater discharge, glacial mass balance, and summer thaw. We hypothesize that melt energy will predict sediment movement better than water volume alone. The hypothesis is testable: if discharge alone correlates with channel migration rate then the hypothesis fails.</w:t>
      </w:r>
      <w:r w:rsidR="00B06385"/>
      <w:r/>
      <w:commentRangeStart w:id="80"/>
      <w:r/>
      <w:r w:rsidR="00B06385"/>
      <w:r/>
      <w:commentRangeEnd w:id="80"/>
      <w:r w:rsidR="00B06385">
        <w:rPr>
          <w:rStyle w:val="CommentReference"/>
          <w:sz w:val="22"/>
          <w:szCs w:val="22"/>
        </w:rPr>
      </w:r>
      <w:r/>
      <w:r w:rsidR="00B06385"/>
      <w:r/>
      <w:r w:rsidR="00B06385"/>
      <w:r/>
      <w:r w:rsidR="00B06385"/>
      <w:r/>
      <w:r w:rsidR="00B06385"/>
      <w:r w:rsidR="00B06385"/>
      <w:r w:rsidR="00B06385"/>
      <w:r/>
    </w:p>
    <w:p w14:paraId="5C32D6E3" w14:textId="77777777" w:rsidR="006A5D79" w:rsidRDefault="005E16C2" w:rsidP="006A5D79">
      <w:pPr>
        <w:pStyle w:val="ListParagraph"/>
        <w:numPr>
          <w:ilvl w:val="0"/>
          <w:numId w:val="3"/>
        </w:numPr>
      </w:pPr>
      <w:commentRangeStart w:id="92"/>
      <w:r>
        <w:t>Process attribution along the stream corridor. Beyond the channel centerline, classify change in the near-channel corridor — channel shift and avulsion, bank thaw and subsidence, and fan growth — by process type. Bedrock and stable soils outside the corridor provide the fixed control needed to co-register the sensors, so every change is measured against genuinely stable ground.</w:t>
      </w:r>
      <w:commentRangeEnd w:id="92"/>
      <w:r w:rsidR="00B06385">
        <w:rPr>
          <w:rStyle w:val="CommentReference"/>
          <w:sz w:val="22"/>
          <w:szCs w:val="22"/>
        </w:rPr>
      </w:r>
    </w:p>
    <w:p w14:paraId="256AAFA3" w14:textId="77777777" w:rsidR="005E16C2" w:rsidRDefault="005E16C2" w:rsidP="005E16C2">
      <w:pPr>
        <w:ind w:left="720"/>
      </w:pPr>
      <w:r>
        <w:lastRenderedPageBreak/>
        <w:t>The satellite record past 2014 exists only on the free REMA DEM, whose elevations are tricky to combine with LiDAR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Calibrated uncertainty. Provide a per-pixel detection threshold for slope, aspect, and sensor, in place of a single valley-wide noise value. Success test: on ground that did not change, a 95% confidence threshold should be exceeded by 5% of pixels.</w:t>
      </w:r>
      <w:commentRangeEnd w:id="93"/>
      <w:r w:rsidR="00B06385">
        <w:rPr>
          <w:rStyle w:val="CommentReference"/>
          <w:sz w:val="22"/>
          <w:szCs w:val="22"/>
        </w:rPr>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94"/>
      <w:r>
        <w:rPr>
          <w:i/>
          <w:color w:val="404040"/>
          <w:sz w:val="18"/>
        </w:rPr>
        <w:t>Figure 2. Planned detection-to-attribution workflow: three DEM epochs, co-registration to airborne-LiDAR and ICESat-2 control, DEM-of-Difference, per-pixel detection floor, then the O1 (channel), O2 (stream-corridor), and O3 (uncertainty) objectives. Method schematic; no results shown.</w:t>
      </w:r>
      <w:commentRangeEnd w:id="94"/>
      <w:r w:rsidR="00B06385">
        <w:rPr>
          <w:rStyle w:val="CommentReference"/>
          <w:i/>
          <w:color w:val="404040"/>
          <w:sz w:val="18"/>
          <w:szCs w:val="22"/>
        </w:rPr>
      </w:r>
      <w:r>
        <w:rPr>
          <w:i/>
          <w:color w:val="404040"/>
          <w:sz w:val="18"/>
        </w:rPr>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r>
        <w:t>Objective 1 tests whether melt energy predicts channel change better than water volume alone. To test it, I measure each gauged stream's change rate: co-register the two elevation epochs (removing the median vertical offset over stable ground, with an optional ICP refinement), resample to a shared grid, difference them, keep only pixels whose change clears the detection floor (the per-pixel LOD95 threshold from objective 3), and integrate that change inside the channel outline, normalized by channel area and years elapsed to a 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Apply the objective-3 per-pixel thresholds along the stream corridor and pull out each change patch as a connected group of super-threshold pixels, dropping patches below a minimum mapping unit to suppress isolated-pixel noise. Bedrock and stable soils flanking the corridor supply the fixed reference used to co-register the sensors, so change is measured against genuinely stable ground.</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14:paraId="42234071" w14:textId="77777777" w:rsidR="000000FA" w:rsidRDefault="000000FA" w:rsidP="000000FA">
      <w:r>
        <w:rPr>
          <w:b/>
          <w:sz w:val="24"/>
        </w:rPr>
        <w:t>Objective 3</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2"/>
          <w:szCs w:val="22"/>
        </w:rPr>
        <w:commentReference w:id="95"/>
      </w:r>
    </w:p>
    <w:p w14:paraId="08C231B4" w14:textId="77777777"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2001 airborne LiDAR DEM (2 m)</w:t>
            </w:r>
          </w:p>
        </w:tc>
        <w:tc>
          <w:tcPr>
            <w:tcW w:w="3216" w:type="dxa"/>
          </w:tcPr>
          <w:p w14:paraId="798FA9B0" w14:textId="77777777" w:rsidR="003A210A" w:rsidRDefault="003A210A" w:rsidP="00FE7746">
            <w:pPr>
              <w:spacing w:after="20"/>
            </w:pPr>
            <w:r>
              <w:rPr>
                <w:rFonts w:ascii="Calibri" w:hAnsi="Calibri"/>
                <w:sz w:val="18"/>
              </w:rPr>
              <w:t>NASA ATM via USGS ScienceBase</w:t>
            </w:r>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2014 airborne LiDAR DEM (1 m) + point cloud</w:t>
            </w:r>
          </w:p>
        </w:tc>
        <w:tc>
          <w:tcPr>
            <w:tcW w:w="3216" w:type="dxa"/>
          </w:tcPr>
          <w:p w14:paraId="37FABFA3" w14:textId="77777777" w:rsidR="003A210A" w:rsidRDefault="003A210A" w:rsidP="00FE7746">
            <w:pPr>
              <w:spacing w:after="20"/>
            </w:pPr>
            <w:r>
              <w:rPr>
                <w:rFonts w:ascii="Calibri" w:hAnsi="Calibri"/>
                <w:sz w:val="18"/>
              </w:rPr>
              <w:t>NCALM via OpenTopography</w:t>
            </w:r>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96"/>
            <w:r w:rsidR="00B06385">
              <w:rPr>
                <w:rStyle w:val="CommentReference"/>
                <w:sz w:val="22"/>
                <w:szCs w:val="22"/>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r>
        <w:tc>
          <w:tcPr>
            <w:tcW w:type="dxa" w:w="3114"/>
          </w:tcPr>
          <w:p>
            <w:r>
              <w:t>ICESat-2 elevation (external control)</w:t>
            </w:r>
          </w:p>
        </w:tc>
        <w:tc>
          <w:tcPr>
            <w:tcW w:type="dxa" w:w="3129"/>
          </w:tcPr>
          <w:p>
            <w:r>
              <w:t>NASA NSIDC DAAC</w:t>
            </w:r>
          </w:p>
        </w:tc>
        <w:tc>
          <w:tcPr>
            <w:tcW w:type="dxa" w:w="3107"/>
          </w:tcPr>
          <w:p>
            <w:r>
              <w:t>public, free</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A single workstation GPU trains the segmentation models, and the elevation processing is CPU-bound and modest. Free access to the host institution's high-performance computing cluster is available for any heavier batch processing, though the project does not depend on it. Raster stacks reach tens of gigabytes and need only local storage.</w:t>
      </w:r>
      <w:commentRangeEnd w:id="97"/>
      <w:r w:rsidR="00335823">
        <w:rPr>
          <w:rStyle w:val="CommentReference"/>
          <w:sz w:val="22"/>
          <w:szCs w:val="22"/>
        </w:rPr>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sz w:val="24"/>
        </w:rPr>
        <w:t>Dissemination</w:t>
      </w:r>
    </w:p>
    <w:p w14:paraId="5DCC9297" w14:textId="77777777" w:rsidR="00D830E3" w:rsidRDefault="00D830E3" w:rsidP="000000FA">
      <w:commentRangeStart w:id="98"/>
      <w:r>
        <w:t>Results will reach the cryosphere community through presentations at AGU and polar-science meetings and through open-access publications and archived data products with DOIs. Because the analysis relies only on public data, it can proceed independently.</w:t>
      </w:r>
      <w:commentRangeEnd w:id="98"/>
      <w:r w:rsidR="00335823">
        <w:rPr>
          <w:rStyle w:val="CommentReference"/>
          <w:sz w:val="22"/>
          <w:szCs w:val="22"/>
        </w:rPr>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Outside the channels, change may be too small to detect. The valley floors change slowly, so much of the surface may sit below our detection threshold. If so, objective 2 stays tight to the channel and its immediate margins, and results are reported at that scope.</w:t>
      </w:r>
    </w:p>
    <w:p w14:paraId="294436C3" w14:textId="77777777"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r>
              <w:rPr>
                <w:rFonts w:ascii="Calibri" w:hAnsi="Calibri"/>
                <w:sz w:val="18"/>
              </w:rPr>
              <w:t>Stream-corridor process attribution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r>
        <w:rPr>
          <w:rFonts w:ascii="Calibri" w:hAnsi="Calibri"/>
          <w:i/>
        </w:rPr>
      </w:r>
      <w:r>
        <w:rPr>
          <w:rFonts w:ascii="Calibri" w:hAnsi="Calibri"/>
        </w:rPr>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Höhle, J., &amp; Höhle, M. (2009). Accuracy assessment of digital elevation models by means of robust statistical methods. </w:t>
      </w:r>
      <w:r>
        <w:rPr>
          <w:rFonts w:ascii="Calibri" w:hAnsi="Calibri"/>
          <w:i/>
        </w:rPr>
        <w:t>ISPRS J. Photogramm. Remote Sens.</w:t>
      </w:r>
      <w:r>
        <w:rPr>
          <w:rFonts w:ascii="Calibri" w:hAnsi="Calibri"/>
        </w:rPr>
        <w:t xml:space="preserve"> 64(4):398–406.</w:t>
      </w:r>
    </w:p>
    <w:p w14:paraId="32CFF3A7" w14:textId="77777777" w:rsidR="003146FF" w:rsidRDefault="003146FF" w:rsidP="003146FF">
      <w:pPr>
        <w:spacing w:after="120"/>
      </w:pPr>
      <w:r>
        <w:rPr>
          <w:rFonts w:ascii="Calibri" w:hAnsi="Calibri"/>
        </w:rPr>
        <w:lastRenderedPageBreak/>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Ronneberger, O., Fischer, P., &amp; Brox,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r>
        <w:t>knb-lter-mcm.*</w:t>
      </w:r>
      <w:r>
        <w:rPr>
          <w:rFonts w:ascii="Calibri" w:hAnsi="Calibri"/>
        </w:rPr>
        <w:t>.</w:t>
      </w:r>
    </w:p>
    <w:p w14:paraId="35FDB019" w14:textId="77777777" w:rsidR="00D830E3" w:rsidRDefault="003146FF" w:rsidP="00C315DC">
      <w:pPr>
        <w:spacing w:after="120"/>
      </w:pPr>
      <w:r>
        <w:rPr>
          <w:rFonts w:ascii="Calibri" w:hAnsi="Calibri"/>
        </w:rPr>
        <w:t xml:space="preserve">[7] Hersbach, H., et al. (2020). The ERA5 global reanalysis. </w:t>
      </w:r>
      <w:r>
        <w:rPr>
          <w:rFonts w:ascii="Calibri" w:hAnsi="Calibri"/>
          <w:i/>
        </w:rPr>
        <w:t>Q. J. R. Meteorol. Soc.</w:t>
      </w:r>
      <w:r>
        <w:rPr>
          <w:rFonts w:ascii="Calibri" w:hAnsi="Calibri"/>
        </w:rPr>
        <w:t xml:space="preserve"> 146:1999–2049.</w:t>
      </w:r>
    </w:p>
    <w:p w14:paraId="35FDB019" w14:textId="77777777" w:rsidR="00D830E3" w:rsidRDefault="003146FF" w:rsidP="00C315DC">
      <w:pPr>
        <w:spacing w:after="120"/>
      </w:pPr>
      <w:r>
        <w:rPr>
          <w:rFonts w:ascii="Calibri" w:hAnsi="Calibri"/>
        </w:rPr>
        <w:t>[8] Schenk, T., Csatho, B., Ahn, Y., Yoon, T., Shin, S. W., &amp; Huh, K. I. (2004). DEM generation from the Antarctic LiDAR data: Site report. US Geological Survey.</w:t>
      </w:r>
      <w:r>
        <w:rPr>
          <w:rFonts w:ascii="Calibri" w:hAnsi="Calibri"/>
          <w:i/>
        </w:rPr>
      </w:r>
      <w:r>
        <w:rPr>
          <w:rFonts w:ascii="Calibri" w:hAnsi="Calibri"/>
        </w:rPr>
      </w:r>
    </w:p>
    <w:p w14:paraId="35FDB019" w14:textId="77777777" w:rsidR="00D830E3" w:rsidRDefault="003146FF" w:rsidP="00C315DC">
      <w:pPr>
        <w:spacing w:after="120"/>
      </w:pPr>
      <w:r>
        <w:rPr>
          <w:rFonts w:ascii="Calibri" w:hAnsi="Calibri"/>
        </w:rPr>
        <w:t>[9] Fountain, A. G., et al. (1999). Physical controls on the Taylor Valley ecosystem, Antarctica. BioScience 49(12):961-971.</w:t>
      </w:r>
      <w:r>
        <w:rPr>
          <w:rFonts w:ascii="Calibri" w:hAnsi="Calibri"/>
          <w:i/>
        </w:rPr>
      </w:r>
      <w:r>
        <w:rPr>
          <w:rFonts w:ascii="Calibri" w:hAnsi="Calibri"/>
        </w:rPr>
      </w:r>
    </w:p>
    <w:p w14:paraId="602A54A2" w14:textId="77777777" w:rsidR="00504EDB" w:rsidRDefault="00504EDB" w:rsidP="00504EDB">
      <w:pPr>
        <w:pStyle w:val="Default"/>
        <w:rPr/>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Craig Glennie</cp:lastModifiedBy>
  <cp:revision>17</cp:revision>
  <dcterms:created xsi:type="dcterms:W3CDTF">2026-07-06T13:13:00Z</dcterms:created>
  <dcterms:modified xsi:type="dcterms:W3CDTF">2026-07-09T00:43:00Z</dcterms:modified>
</cp:coreProperties>
</file>