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Hillshade of the study-area LiDAR DEM (1 m), showing the incised valley-floor channels this project measures</w:t>
      </w:r>
      <w:r>
        <w:rPr>
          <w:i/>
          <w:color w:val="404040"/>
          <w:sz w:val="24"/>
        </w:rPr>
        <w:t xml:space="preserve">.</w:t>
      </w:r>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t xml:space="preserve">ML methodology </w:t>
      </w:r>
      <w:r>
        <w:t xml:space="preserve">[5] </w:t>
      </w:r>
      <w:r>
        <w:t xml:space="preserve">that finds stream channels </w:t>
      </w:r>
      <w:r>
        <w:t xml:space="preserve">using high</w:t>
      </w:r>
      <w:r>
        <w:t xml:space="preserve">-</w:t>
      </w:r>
      <w:r>
        <w:t xml:space="preserve">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 xml:space="preserve">Initial verification that repeat</w:t>
      </w:r>
      <w:r>
        <w:t xml:space="preserve">-acquisition airborne LiDAR and valley-</w:t>
      </w:r>
      <w:r>
        <w:t xml:space="preserve">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4"/>
          <w:szCs w:val="24"/>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r>
        <w:t xml:space="preserve">proposed research is relevant to NASA’s Earth Science Division — most directly the Cryospheric Sciences and Terrestrial Hydrology programs, which support research on cold-region surface change and meltwater hydrology. The </w:t>
      </w:r>
      <w:r>
        <w:t xml:space="preserve">2001 baseline is NASA data — an airborne </w:t>
      </w:r>
      <w:r>
        <w:t xml:space="preserve">LiDAR</w:t>
      </w:r>
      <w:r>
        <w:t xml:space="preserve"> swath never fully exploited for surface change </w:t>
      </w:r>
      <w:r>
        <w:t xml:space="preserve">[8]. The project turns the airborne LiDAR, REMA satellite DEMs (corrected and controlled by airborne LiDAR and ICESat-2 observations) and reanalysis</w:t>
      </w:r>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r>
        <w:t xml:space="preserve">-</w:t>
      </w:r>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 air temperature, incoming sunlight, meltwater discharge, glacial mass balance, and summer thaw — come from the McMurdo Dry Valleys LTER network (meteorology, stream gauges, glacier mass balance, and soil climate) [6], with ERA5 [7] and AMPS reanalysis filling coverage gaps. We hypothesize that melt energy will predict </w:t>
      </w:r>
      <w:r>
        <w:t xml:space="preserve">channel change</w:t>
      </w:r>
      <w:r>
        <w:t xml:space="preserve"> better than water volume alone. The hypothesis is testable: if discharge alone </w:t>
      </w:r>
      <w:r>
        <w:t xml:space="preserve">predicts channel migration as well as or better than melt energy,</w:t>
      </w:r>
      <w:r>
        <w:t xml:space="preserve"> the hypothesis fails.</w:t>
      </w:r>
      <w:r w:rsidR="00B06385"/>
      <w:r/>
      <w:commentRangeStart w:id="80"/>
      <w:r/>
      <w:r w:rsidR="00B06385"/>
      <w:r/>
      <w:commentRangeEnd w:id="80"/>
      <w:r w:rsidR="00B06385">
        <w:rPr>
          <w:rStyle w:val="CommentReference"/>
          <w:sz w:val="24"/>
          <w:szCs w:val="24"/>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commentRangeEnd w:id="92"/>
      <w:r w:rsidR="00B06385">
        <w:rPr>
          <w:rStyle w:val="CommentReference"/>
          <w:sz w:val="24"/>
          <w:szCs w:val="24"/>
        </w:rPr>
      </w:r>
    </w:p>
    <w:p w14:paraId="256AAFA3" w14:textId="77777777" w:rsidR="005E16C2" w:rsidRDefault="005E16C2" w:rsidP="005E16C2">
      <w:pPr>
        <w:ind w:left="720"/>
      </w:pPr>
      <w:r>
        <w:t xml:space="preserve">The satellite record past 2014 exists only on the free REMA DEM, whose elevations are tricky to combine with </w:t>
      </w:r>
      <w:r>
        <w:t xml:space="preserve">LiDAR</w:t>
      </w:r>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4"/>
          <w:szCs w:val="24"/>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94"/>
      <w:r>
        <w:rPr>
          <w:i/>
          <w:color w:val="404040"/>
          <w:sz w:val="24"/>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24"/>
          <w:szCs w:val="24"/>
        </w:rPr>
      </w:r>
      <w:r>
        <w:rPr>
          <w:i/>
          <w:color w:val="404040"/>
          <w:sz w:val="24"/>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r>
        <w:t xml:space="preserve">LiDAR</w:t>
      </w:r>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r>
        <w:rPr>
          <w:b/>
          <w:sz w:val="24"/>
        </w:rPr>
        <w:t xml:space="preserve">:</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4"/>
          <w:szCs w:val="24"/>
        </w:rPr>
        <w:commentReference w:id="95"/>
      </w:r>
    </w:p>
    <w:p w14:paraId="08C231B4" w14:textId="77777777" w:rsidR="000000FA" w:rsidRDefault="000000FA" w:rsidP="000000FA">
      <w:r>
        <w:t xml:space="preserve">Note that all methods use robust statistics</w:t>
      </w:r>
      <w:r>
        <w:t xml:space="preserve"> [3]</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96"/>
            <w:r w:rsidR="00B06385">
              <w:rPr>
                <w:rStyle w:val="CommentReference"/>
                <w:sz w:val="24"/>
                <w:szCs w:val="24"/>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tc>
          <w:tcPr>
            <w:tcW w:type="dxa" w:w="3114"/>
          </w:tcPr>
          <w:p>
            <w:r>
              <w:rPr>
                <w:sz w:val="18"/>
                <w:szCs w:val="18"/>
              </w:rPr>
              <w:t>ICESat-2 elevation (external control)</w:t>
            </w:r>
          </w:p>
        </w:tc>
        <w:tc>
          <w:tcPr>
            <w:tcW w:type="dxa" w:w="3129"/>
          </w:tcPr>
          <w:p>
            <w:r>
              <w:rPr>
                <w:sz w:val="18"/>
                <w:szCs w:val="18"/>
              </w:rPr>
              <w:t>NASA NSIDC DAAC</w:t>
            </w:r>
          </w:p>
        </w:tc>
        <w:tc>
          <w:tcPr>
            <w:tcW w:type="dxa" w:w="3107"/>
          </w:tcPr>
          <w:p>
            <w:r>
              <w:rPr>
                <w:sz w:val="18"/>
                <w:szCs w:val="18"/>
              </w:rP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4"/>
          <w:szCs w:val="24"/>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4"/>
          <w:szCs w:val="24"/>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r>
        <w:t xml:space="preserve">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 xml:space="preserve">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r>
        <w:rPr>
          <w:rFonts w:ascii="Times New Roman" w:hAnsi="Times New Roman"/>
          <w:i/>
        </w:rPr>
      </w:r>
      <w:r>
        <w:rPr>
          <w:rFonts w:ascii="Times New Roman" w:hAnsi="Times New Roman"/>
        </w:rPr>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lastRenderedPageBreak/>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Hersbach, H., et al. (2020). The ERA5 global reanalysis. </w:t>
      </w:r>
      <w:r>
        <w:rPr>
          <w:rFonts w:ascii="Times New Roman" w:hAnsi="Times New Roman"/>
          <w:i/>
        </w:rPr>
        <w:t>Q. J. R. Meteorol. Soc.</w:t>
      </w:r>
      <w:r>
        <w:rPr>
          <w:rFonts w:ascii="Times New Roman" w:hAnsi="Times New Roman"/>
        </w:rPr>
        <w:t xml:space="preserve"> 146:1999–2049.</w:t>
      </w:r>
    </w:p>
    <w:p w14:paraId="35FDB019" w14:textId="77777777" w:rsidR="00D830E3" w:rsidRDefault="003146FF" w:rsidP="00C315DC">
      <w:pPr>
        <w:spacing w:after="120"/>
      </w:pPr>
      <w:r>
        <w:rPr>
          <w:rFonts w:ascii="Times New Roman" w:hAnsi="Times New Roman"/>
        </w:rPr>
        <w:t xml:space="preserve">[8] Schenk, T., Csatho, B., Ahn,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r>
        <w:rPr>
          <w:rFonts w:ascii="Times New Roman" w:hAnsi="Times New Roman"/>
          <w:i/>
        </w:rPr>
      </w:r>
      <w:r>
        <w:rPr>
          <w:rFonts w:ascii="Times New Roman" w:hAnsi="Times New Roman"/>
        </w:rPr>
      </w:r>
    </w:p>
    <w:p w14:paraId="35FDB019" w14:textId="77777777" w:rsidR="00D830E3" w:rsidRDefault="003146FF" w:rsidP="00C315DC">
      <w:pPr>
        <w:spacing w:after="120"/>
      </w:pPr>
      <w:r>
        <w:rPr>
          <w:rFonts w:ascii="Times New Roman" w:hAnsi="Times New Roman"/>
        </w:rPr>
        <w:t xml:space="preserve">[9] Fountain, A. G., et al. (1999). Physical controls on the Taylor Valley ecosystem, Antarctica. BioScience 49(12):961</w:t>
      </w:r>
      <w:r>
        <w:rPr>
          <w:rFonts w:ascii="Times New Roman" w:hAnsi="Times New Roman"/>
        </w:rPr>
        <w:t xml:space="preserve">–</w:t>
      </w:r>
      <w:r>
        <w:rPr>
          <w:rFonts w:ascii="Times New Roman" w:hAnsi="Times New Roman"/>
        </w:rPr>
        <w:t xml:space="preserve">971.</w:t>
      </w:r>
      <w:r>
        <w:rPr>
          <w:rFonts w:ascii="Times New Roman" w:hAnsi="Times New Roman"/>
          <w:i/>
        </w:rPr>
      </w:r>
      <w:r>
        <w:rPr>
          <w:rFonts w:ascii="Times New Roman" w:hAnsi="Times New Roman"/>
        </w:rPr>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17</cp:revision>
  <dcterms:created xsi:type="dcterms:W3CDTF">2026-07-06T13:13:00Z</dcterms:created>
  <dcterms:modified xsi:type="dcterms:W3CDTF">2026-07-09T00:43:00Z</dcterms:modified>
</cp:coreProperties>
</file>