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Division:</w:t>
      </w:r>
      <w:r>
        <w:rPr>
          <w:rFonts w:ascii="Calibri" w:hAnsi="Calibri"/>
          <w:b w:val="0"/>
          <w:i w:val="0"/>
        </w:rPr>
        <w:t xml:space="preserve"> Earth Science (EARTH25), Antarctic cryosphere / climate </w:t>
      </w:r>
      <w:r>
        <w:rPr>
          <w:rFonts w:ascii="Calibri" w:hAnsi="Calibri"/>
          <w:b w:val="0"/>
          <w:i w:val="0"/>
        </w:rPr>
        <w:t>Deadline:</w:t>
      </w:r>
      <w:r>
        <w:rPr>
          <w:rFonts w:ascii="Calibri" w:hAnsi="Calibri"/>
          <w:b w:val="0"/>
          <w:i w:val="0"/>
        </w:rPr>
        <w:t xml:space="preserve"> 14 July 2026 (11:59 PM EDT) </w:t>
      </w:r>
      <w:r>
        <w:rPr>
          <w:rFonts w:ascii="Calibri" w:hAnsi="Calibri"/>
          <w:b w:val="0"/>
          <w:i w:val="0"/>
        </w:rPr>
        <w:t>Roles:</w:t>
      </w:r>
      <w:r>
        <w:rPr>
          <w:rFonts w:ascii="Calibri" w:hAnsi="Calibri"/>
          <w:b w:val="0"/>
          <w:i w:val="0"/>
        </w:rPr>
        <w:t xml:space="preserve"> Grad student is the Future Investigator (FI), lead and main author; advisor is PI on record. Up to ~$50k/yr for up to 3 years.</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I'll do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Approach</w:t>
      </w:r>
    </w:p>
    <w:p>
      <w:pPr>
        <w:spacing w:after="120"/>
      </w:pPr>
      <w:r>
        <w:rPr>
          <w:rFonts w:ascii="Calibri" w:hAnsi="Calibri"/>
          <w:b w:val="0"/>
          <w:i w:val="0"/>
        </w:rPr>
        <w:t>Data (all free/public, already pulled; see §6).</w:t>
      </w:r>
      <w:r>
        <w:rPr>
          <w:rFonts w:ascii="Calibri" w:hAnsi="Calibri"/>
          <w:b w:val="0"/>
          <w:i w:val="0"/>
        </w:rPr>
        <w:t xml:space="preserve"> Elevation: MDV lidar 2001 (2 m) and 2014 (1 m), plus REMA satellite (2 m, 2021–23). From each I build the standard terrain layers: elevation, slope, aspect, </w:t>
      </w:r>
      <w:r>
        <w:rPr>
          <w:rFonts w:ascii="Calibri" w:hAnsi="Calibri"/>
          <w:b w:val="0"/>
          <w:i w:val="0"/>
        </w:rPr>
        <w:t>profile curvature</w:t>
      </w:r>
      <w:r>
        <w:rPr>
          <w:rFonts w:ascii="Calibri" w:hAnsi="Calibri"/>
          <w:b w:val="0"/>
          <w:i w:val="0"/>
        </w:rPr>
        <w:t xml:space="preserve"> (signed, so it distinguishes concave channels from convex ridges), </w:t>
      </w:r>
      <w:r>
        <w:rPr>
          <w:rFonts w:ascii="Calibri" w:hAnsi="Calibri"/>
          <w:b w:val="0"/>
          <w:i w:val="0"/>
        </w:rPr>
        <w:t>MFD flow accumulation</w:t>
      </w:r>
      <w:r>
        <w:rPr>
          <w:rFonts w:ascii="Calibri" w:hAnsi="Calibri"/>
          <w:b w:val="0"/>
          <w:i w:val="0"/>
        </w:rPr>
        <w:t xml:space="preserve">, and lidar intensity. Drivers: LTER meteorology, </w:t>
      </w:r>
      <w:r>
        <w:rPr>
          <w:rFonts w:ascii="Calibri" w:hAnsi="Calibri"/>
          <w:b w:val="0"/>
          <w:i w:val="0"/>
        </w:rPr>
        <w:t>21 stream gauges</w:t>
      </w:r>
      <w:r>
        <w:rPr>
          <w:rFonts w:ascii="Calibri" w:hAnsi="Calibri"/>
          <w:b w:val="0"/>
          <w:i w:val="0"/>
        </w:rPr>
        <w:t>, glacier melt for 7 glaciers, and continuous soil temperature/moisture as an active-layer proxy; ERA5 and AMPS reanalysis fill spatial gaps. Labels: LTER stream centerlines, a public stand-in for Barlow's private hand-drawn training tiles (the one access constraint; see §7).</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The discharge relationship in Fig. 5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prior work (§5)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this project builds on already works. Rebuilding Barlow's pipeline on Taylor Valley reproduces results </w:t>
      </w:r>
      <w:r>
        <w:rPr>
          <w:rFonts w:ascii="Calibri" w:hAnsi="Calibri"/>
          <w:b w:val="0"/>
          <w:i w:val="0"/>
        </w:rPr>
        <w:t>inside her published ranges</w:t>
      </w:r>
      <w:r>
        <w:rPr>
          <w:rFonts w:ascii="Calibri" w:hAnsi="Calibri"/>
          <w:b w:val="0"/>
          <w:i w:val="0"/>
        </w:rPr>
        <w:t xml:space="preserve"> (below), and a first driver analysis surfaces the attribution signal that O1 develops.</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for Taylor Valley stream corridors, showing only changes above the noise floor. Left: 2001→2014 (lidar vs lidar). Right: 2014→2021-23 (lidar vs REMA). Red is erosion, blue is deposition. Coherent patterns emerge well above the noise.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Gross is total activity (erosion plus deposition); net is the balance (positive = building up, negative = wearing down).</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Each stream's gross rate against its cumulative melt discharge. In the lidar epoch the relationship is strongly positive (</w:t>
      </w:r>
      <w:r>
        <w:rPr>
          <w:rFonts w:ascii="Calibri" w:hAnsi="Calibri"/>
          <w:b w:val="0"/>
          <w:i/>
        </w:rPr>
        <w:t>r = +0.89</w:t>
      </w:r>
      <w:r>
        <w:rPr>
          <w:rFonts w:ascii="Calibri" w:hAnsi="Calibri"/>
          <w:b w:val="0"/>
          <w:i/>
        </w:rPr>
        <w:t xml:space="preserve">): more active streams move more sediment. In the satellite epoch it's noisier (r = +0.43; fewer post-2014 gauge records and a higher satellite noise floor). That contrast is the case for O1: discharge captures the first-order signal but leaves real scatter, so the proposed work brings in </w:t>
      </w:r>
      <w:r>
        <w:rPr>
          <w:rFonts w:ascii="Calibri" w:hAnsi="Calibri"/>
          <w:b w:val="0"/>
          <w:i/>
        </w:rPr>
        <w:t>melt energy</w:t>
      </w:r>
      <w:r>
        <w:rPr>
          <w:rFonts w:ascii="Calibri" w:hAnsi="Calibri"/>
          <w:b w:val="0"/>
          <w:i/>
        </w:rPr>
        <w:t xml:space="preserve"> (PDD / insolation / thaw) to resolve the why.</w:t>
      </w:r>
    </w:p>
    <w:p>
      <w:pPr>
        <w:pBdr>
          <w:bottom w:val="single" w:sz="6" w:space="1" w:color="BBBBBB"/>
        </w:pBdr>
      </w:pPr>
    </w:p>
    <w:p>
      <w:pPr>
        <w:spacing w:before="140" w:after="60"/>
      </w:pPr>
      <w:r>
        <w:rPr>
          <w:rFonts w:ascii="Calibri" w:hAnsi="Calibri"/>
          <w:b/>
          <w:i w:val="0"/>
          <w:sz w:val="24"/>
        </w:rPr>
        <w:t>5. Why I'm positioned to do this</w:t>
      </w:r>
    </w:p>
    <w:p>
      <w:pPr>
        <w:spacing w:after="120"/>
      </w:pPr>
      <w:r>
        <w:rPr>
          <w:rFonts w:ascii="Calibri" w:hAnsi="Calibri"/>
          <w:b w:val="0"/>
          <w:i w:val="0"/>
        </w:rPr>
        <w:t>I've built and run this exact machinery (U-Net segmentation on terrain layers, ICP alignment, DoD change detection) on a very different landscape: detecting channels, roads, and disturbance scars in the Appalachian Plateau from elevation alone. That shows the approach transfers across sensors and biomes, which is precisely O2's risk, and that I can operate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the project needs is </w:t>
      </w:r>
      <w:r>
        <w:rPr>
          <w:rFonts w:ascii="Calibri" w:hAnsi="Calibri"/>
          <w:b w:val="0"/>
          <w:i w:val="0"/>
        </w:rPr>
        <w:t>free/public</w:t>
      </w:r>
      <w:r>
        <w:rPr>
          <w:rFonts w:ascii="Calibri" w:hAnsi="Calibri"/>
          <w:b w:val="0"/>
          <w:i w:val="0"/>
        </w:rPr>
        <w:t>, and I've already assembled the full stack (scripted, so it regenerates from source). Data availability isn't a schedule risk. The only access-gated item is Barlow's training labels (addressed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Status</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+ 2014; REMA 2021-23</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terrain layers (slope/aspect/curvature/flow/intensity)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shown on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hand-drawn training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the one access constraint</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meteorology, 21 gauges, glacier melt, soil/thaw</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AMPS</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layers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high-res imagery;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w:t>
            </w:r>
          </w:p>
        </w:tc>
      </w:tr>
    </w:tbl>
    <w:p>
      <w:pPr>
        <w:spacing w:after="40"/>
      </w:pP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my prior work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