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The Open Question</w:t>
      </w:r>
    </w:p>
    <w:p w14:paraId="4575E454" w14:textId="6FFA632B" w:rsidR="00627337" w:rsidRDefault="00627337" w:rsidP="00627337">
      <w:pPr>
        <w:rPr>
          <w:b/>
        </w:rPr>
      </w:pPr>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r w:rsidR="003131C9"/>
      <w:r/>
      <w:r w:rsidR="003131C9"/>
      <w:r/>
      <w:r w:rsidR="003131C9"/>
      <w:r w:rsidR="003131C9"/>
      <w:r/>
      <w:r w:rsidR="003131C9"/>
      <w:r/>
      <w:commentRangeStart w:id="57"/>
      <w:r/>
      <w:commentRangeEnd w:id="57"/>
      <w:r w:rsidR="003131C9">
        <w:rPr>
          <w:rStyle w:val="CommentReference"/>
          <w:b/>
          <w:sz w:val="22"/>
          <w:szCs w:val="22"/>
        </w:rPr>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Attribution. Determination of  which climate drivers control each stream's rate of geomorphic change. Candidate drivers — drawn from MDV-LTER station records [6] and the ERA5 reanalysis [7] — are air temperature, incoming sunlight, meltwater discharge, glacial mass balance, and summer thaw. We hypothesize that melt energy will predict sediment movement better than water volume alone. The hypothesis is testable: if discharge alone correlates with channel migration rate then the hypothesis fails.</w:t>
      </w:r>
      <w:r w:rsidR="00B06385"/>
      <w:r/>
      <w:commentRangeStart w:id="80"/>
      <w:r/>
      <w:r w:rsidR="00B06385"/>
      <w:r/>
      <w:commentRangeEnd w:id="80"/>
      <w:r w:rsidR="00B06385">
        <w:rPr>
          <w:rStyle w:val="CommentReference"/>
          <w:sz w:val="22"/>
          <w:szCs w:val="22"/>
        </w:rPr>
      </w:r>
      <w:r/>
      <w:r w:rsidR="00B06385"/>
      <w:r/>
      <w:r w:rsidR="00B06385"/>
      <w:r/>
      <w:r w:rsidR="00B06385"/>
      <w:r/>
      <w:r w:rsidR="00B06385"/>
      <w:r w:rsidR="00B06385"/>
      <w:r w:rsidR="00B06385"/>
      <w:r/>
    </w:p>
    <w:p w14:paraId="5C32D6E3" w14:textId="77777777" w:rsidR="006A5D79" w:rsidRDefault="005E16C2" w:rsidP="006A5D79">
      <w:pPr>
        <w:pStyle w:val="ListParagraph"/>
        <w:numPr>
          <w:ilvl w:val="0"/>
          <w:numId w:val="3"/>
        </w:numPr>
      </w:pPr>
      <w:commentRangeStart w:id="92"/>
      <w:r>
        <w:t>Process attribution along the stream corridor. Beyond the channel centerline, classify change in the near-channel corridor — channel shift and avulsion, bank thaw and subsidence, and fan growth — by process type. Bedrock and stable soils outside the corridor provide the fixed control needed to co-register the sensors, so every change is measured against genuinely stable ground.</w:t>
      </w:r>
      <w:commentRangeEnd w:id="92"/>
      <w:r w:rsidR="00B06385">
        <w:rPr>
          <w:rStyle w:val="CommentReference"/>
          <w:sz w:val="22"/>
          <w:szCs w:val="22"/>
        </w:rPr>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Provide a per-pixel detection threshold for slope, aspect, and sensor, in place of a single valley-wide noise value. Success test: on ground that did not change, a 95% confidence threshold should be exceeded by 5% of pixels.</w:t>
      </w:r>
      <w:commentRangeEnd w:id="93"/>
      <w:r w:rsidR="00B06385">
        <w:rPr>
          <w:rStyle w:val="CommentReference"/>
          <w:sz w:val="22"/>
          <w:szCs w:val="22"/>
        </w:rPr>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Figure 2. Planned detection-to-attribution workflow: three DEM epochs, co-registration to airborne-lidar and ICESat-2 control, DEM-of-Difference, per-pixel detection floor, then the O1 (channel), O2 (stream-corridor), and O3 (uncertainty) objectives. Method schematic; no results shown.</w:t>
      </w:r>
      <w:commentRangeEnd w:id="94"/>
      <w:r w:rsidR="00B06385">
        <w:rPr>
          <w:rStyle w:val="CommentReference"/>
          <w:i/>
          <w:color w:val="404040"/>
          <w:sz w:val="18"/>
          <w:szCs w:val="22"/>
        </w:rPr>
      </w:r>
      <w:r>
        <w:rPr>
          <w:i/>
          <w:color w:val="404040"/>
          <w:sz w:val="18"/>
        </w:rPr>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c>
          <w:tcPr>
            <w:tcW w:type="dxa" w:w="3114"/>
          </w:tcPr>
          <w:p>
            <w:r>
              <w:t>ICESat-2 elevation (external control)</w:t>
            </w:r>
          </w:p>
        </w:tc>
        <w:tc>
          <w:tcPr>
            <w:tcW w:type="dxa" w:w="3129"/>
          </w:tcPr>
          <w:p>
            <w:r>
              <w:t>NASA NSIDC DAAC</w:t>
            </w:r>
          </w:p>
        </w:tc>
        <w:tc>
          <w:tcPr>
            <w:tcW w:type="dxa" w:w="3107"/>
          </w:tcPr>
          <w:p>
            <w:r>
              <w:t>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commentRangeEnd w:id="97"/>
      <w:r w:rsidR="00335823">
        <w:rPr>
          <w:rStyle w:val="CommentReference"/>
          <w:sz w:val="22"/>
          <w:szCs w:val="22"/>
        </w:rPr>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Dissemination</w:t>
      </w:r>
    </w:p>
    <w:p w14:paraId="5DCC9297" w14:textId="77777777" w:rsidR="00D830E3" w:rsidRDefault="00D830E3" w:rsidP="000000FA">
      <w:commentRangeStart w:id="98"/>
      <w:r>
        <w:t>Results will reach the cryosphere community through presentations at AGU and polar-science meetings and through open-access publications and archived data products with DOIs. Because the analysis relies only on public data, it can proceed independently.</w:t>
      </w:r>
      <w:commentRangeEnd w:id="98"/>
      <w:r w:rsidR="00335823">
        <w:rPr>
          <w:rStyle w:val="CommentReference"/>
          <w:sz w:val="22"/>
          <w:szCs w:val="22"/>
        </w:rPr>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Outside the channels, change may be too small to detect. The valley floors change slowly, so much of the surface may sit below our detection threshold. If so, objective 2 stays tight to the channel and its immediate margins, and results are reported at that scope.</w:t>
      </w:r>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r>
              <w:rPr>
                <w:rFonts w:ascii="Calibri" w:hAnsi="Calibri"/>
                <w:sz w:val="18"/>
              </w:rPr>
              <w:t>Stream-corridor process attribution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