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sz w:val="36"/>
        </w:rPr>
        <w:t>Basic Proposal — Line-by-Line Rationale</w:t>
      </w:r>
    </w:p>
    <w:p>
      <w:pPr>
        <w:spacing w:after="120"/>
      </w:pPr>
      <w:r>
        <w:rPr>
          <w:rFonts w:ascii="Calibri" w:hAnsi="Calibri"/>
          <w:b w:val="0"/>
          <w:i/>
        </w:rPr>
        <w:t xml:space="preserve">Companion to `finesst_proposal_basic.md`. For every block of the proposal, this doc answers two questions: </w:t>
      </w:r>
      <w:r>
        <w:rPr>
          <w:rFonts w:ascii="Calibri" w:hAnsi="Calibri"/>
          <w:b w:val="0"/>
          <w:i/>
        </w:rPr>
        <w:t>why</w:t>
      </w:r>
      <w:r>
        <w:rPr>
          <w:rFonts w:ascii="Calibri" w:hAnsi="Calibri"/>
          <w:b w:val="0"/>
          <w:i/>
        </w:rPr>
        <w:t xml:space="preserve"> the line is there (what it is doing to the reviewer or guarding against) and </w:t>
      </w:r>
      <w:r>
        <w:rPr>
          <w:rFonts w:ascii="Calibri" w:hAnsi="Calibri"/>
          <w:b w:val="0"/>
          <w:i/>
        </w:rPr>
        <w:t>how</w:t>
      </w:r>
      <w:r>
        <w:rPr>
          <w:rFonts w:ascii="Calibri" w:hAnsi="Calibri"/>
          <w:b w:val="0"/>
          <w:i/>
        </w:rPr>
        <w:t xml:space="preserve"> it works (the mechanism or evidence behind it). Internal document — never submitted.</w:t>
      </w:r>
    </w:p>
    <w:p>
      <w:pPr>
        <w:pBdr>
          <w:bottom w:val="single" w:sz="6" w:space="1" w:color="BBBBBB"/>
        </w:pBdr>
      </w:pPr>
    </w:p>
    <w:p>
      <w:pPr>
        <w:spacing w:before="140" w:after="60"/>
      </w:pPr>
      <w:r>
        <w:rPr>
          <w:rFonts w:ascii="Calibri" w:hAnsi="Calibri"/>
          <w:b/>
          <w:i w:val="0"/>
          <w:sz w:val="24"/>
        </w:rPr>
        <w:t>Title</w:t>
      </w:r>
    </w:p>
    <w:p>
      <w:pPr>
        <w:spacing w:after="160"/>
        <w:ind w:left="360"/>
      </w:pPr>
      <w:r>
        <w:rPr>
          <w:rFonts w:ascii="Calibri" w:hAnsi="Calibri"/>
          <w:b w:val="0"/>
          <w:i/>
          <w:sz w:val="20"/>
        </w:rPr>
        <w:t>"Measuring and Explaining Geomorphic Change in the McMurdo Dry Valleys, Antarctica"</w:t>
      </w:r>
    </w:p>
    <w:p>
      <w:pPr>
        <w:spacing w:after="120"/>
      </w:pPr>
      <w:r>
        <w:rPr>
          <w:rFonts w:ascii="Calibri" w:hAnsi="Calibri"/>
          <w:b/>
          <w:i w:val="0"/>
        </w:rPr>
        <w:t>Why:</w:t>
      </w:r>
      <w:r>
        <w:rPr>
          <w:rFonts w:ascii="Calibri" w:hAnsi="Calibri"/>
          <w:b w:val="0"/>
          <w:i w:val="0"/>
        </w:rPr>
        <w:t xml:space="preserve"> the title is a promise, and this one promises exactly two verbs — measure and explain. No "novel," no "framework," no method name. Reviewers read dozens of titles; plain verbs stand out and are impossible to overclaim. </w:t>
      </w:r>
      <w:r>
        <w:rPr>
          <w:rFonts w:ascii="Calibri" w:hAnsi="Calibri"/>
          <w:b/>
          <w:i w:val="0"/>
        </w:rPr>
        <w:t>How:</w:t>
      </w:r>
      <w:r>
        <w:rPr>
          <w:rFonts w:ascii="Calibri" w:hAnsi="Calibri"/>
          <w:b w:val="0"/>
          <w:i w:val="0"/>
        </w:rPr>
        <w:t xml:space="preserve"> "Geomorphic Change" (not "Stream-Channel Change") matches the O2 rescope — the project measures the whole valley floor. "McMurdo Dry Valleys" names the place specifically enough that a panelist who knows the region is instantly oriented.</w:t>
      </w:r>
    </w:p>
    <w:p>
      <w:pPr>
        <w:spacing w:before="140" w:after="60"/>
      </w:pPr>
      <w:r>
        <w:rPr>
          <w:rFonts w:ascii="Calibri" w:hAnsi="Calibri"/>
          <w:b/>
          <w:i w:val="0"/>
          <w:sz w:val="24"/>
        </w:rPr>
        <w:t>Summary block</w:t>
      </w:r>
    </w:p>
    <w:p>
      <w:pPr>
        <w:spacing w:after="160"/>
        <w:ind w:left="360"/>
      </w:pPr>
      <w:r>
        <w:rPr>
          <w:rFonts w:ascii="Calibri" w:hAnsi="Calibri"/>
          <w:b w:val="0"/>
          <w:i/>
          <w:sz w:val="20"/>
        </w:rPr>
        <w:t>"The McMurdo Dry Valleys hold the only streams in Antarctica that flow over open ground."</w:t>
      </w:r>
    </w:p>
    <w:p>
      <w:pPr>
        <w:spacing w:after="120"/>
      </w:pPr>
      <w:r>
        <w:rPr>
          <w:rFonts w:ascii="Calibri" w:hAnsi="Calibri"/>
          <w:b/>
          <w:i w:val="0"/>
        </w:rPr>
        <w:t>Why:</w:t>
      </w:r>
      <w:r>
        <w:rPr>
          <w:rFonts w:ascii="Calibri" w:hAnsi="Calibri"/>
          <w:b w:val="0"/>
          <w:i w:val="0"/>
        </w:rPr>
        <w:t xml:space="preserve"> the first sentence must establish stakes in one breath for a reviewer who may know nothing about the region. "Only streams in Antarctica" is a superlative that is </w:t>
      </w:r>
      <w:r>
        <w:rPr>
          <w:rFonts w:ascii="Calibri" w:hAnsi="Calibri"/>
          <w:b w:val="0"/>
          <w:i/>
        </w:rPr>
        <w:t>true</w:t>
      </w:r>
      <w:r>
        <w:rPr>
          <w:rFonts w:ascii="Calibri" w:hAnsi="Calibri"/>
          <w:b w:val="0"/>
          <w:i w:val="0"/>
        </w:rPr>
        <w:t xml:space="preserve">, cheap to verify, and does the entire why-should-anyone-care job. </w:t>
      </w:r>
      <w:r>
        <w:rPr>
          <w:rFonts w:ascii="Calibri" w:hAnsi="Calibri"/>
          <w:b/>
          <w:i w:val="0"/>
        </w:rPr>
        <w:t>How:</w:t>
      </w:r>
      <w:r>
        <w:rPr>
          <w:rFonts w:ascii="Calibri" w:hAnsi="Calibri"/>
          <w:b w:val="0"/>
          <w:i w:val="0"/>
        </w:rPr>
        <w:t xml:space="preserve"> it also quietly scopes the project — streams are the anchor even though O2 widens the view.</w:t>
      </w:r>
    </w:p>
    <w:p>
      <w:pPr>
        <w:spacing w:after="160"/>
        <w:ind w:left="360"/>
      </w:pPr>
      <w:r>
        <w:rPr>
          <w:rFonts w:ascii="Calibri" w:hAnsi="Calibri"/>
          <w:b w:val="0"/>
          <w:i/>
          <w:sz w:val="20"/>
        </w:rPr>
        <w:t>"A 2026 dissertation (Barlow) mapped two decades of that change but stopped short of explaining it — and measured it only inside the stream channels."</w:t>
      </w:r>
    </w:p>
    <w:p>
      <w:pPr>
        <w:spacing w:after="120"/>
      </w:pPr>
      <w:r>
        <w:rPr>
          <w:rFonts w:ascii="Calibri" w:hAnsi="Calibri"/>
          <w:b/>
          <w:i w:val="0"/>
        </w:rPr>
        <w:t>Why:</w:t>
      </w:r>
      <w:r>
        <w:rPr>
          <w:rFonts w:ascii="Calibri" w:hAnsi="Calibri"/>
          <w:b w:val="0"/>
          <w:i w:val="0"/>
        </w:rPr>
        <w:t xml:space="preserve"> names the prior work immediately and honestly. Reviewers distrust proposals that bury their intellectual parentage; leading with it converts a vulnerability ("isn't this just her work?") into the setup for the gap. </w:t>
      </w:r>
      <w:r>
        <w:rPr>
          <w:rFonts w:ascii="Calibri" w:hAnsi="Calibri"/>
          <w:b/>
          <w:i w:val="0"/>
        </w:rPr>
        <w:t>How:</w:t>
      </w:r>
      <w:r>
        <w:rPr>
          <w:rFonts w:ascii="Calibri" w:hAnsi="Calibri"/>
          <w:b w:val="0"/>
          <w:i w:val="0"/>
        </w:rPr>
        <w:t xml:space="preserve"> the two clauses are the two objectives in embryo: "stopped short of explaining" → O1; "only inside the stream channels" → O2. Every later section unpacks this sentence.</w:t>
      </w:r>
    </w:p>
    <w:p>
      <w:pPr>
        <w:spacing w:after="160"/>
        <w:ind w:left="360"/>
      </w:pPr>
      <w:r>
        <w:rPr>
          <w:rFonts w:ascii="Calibri" w:hAnsi="Calibri"/>
          <w:b w:val="0"/>
          <w:i/>
          <w:sz w:val="20"/>
        </w:rPr>
        <w:t>"This document is a plan. No results are claimed here..."</w:t>
      </w:r>
    </w:p>
    <w:p>
      <w:pPr>
        <w:spacing w:after="120"/>
      </w:pPr>
      <w:r>
        <w:rPr>
          <w:rFonts w:ascii="Calibri" w:hAnsi="Calibri"/>
          <w:b/>
          <w:i w:val="0"/>
        </w:rPr>
        <w:t>Why:</w:t>
      </w:r>
      <w:r>
        <w:rPr>
          <w:rFonts w:ascii="Calibri" w:hAnsi="Calibri"/>
          <w:b w:val="0"/>
          <w:i w:val="0"/>
        </w:rPr>
        <w:t xml:space="preserve"> the plan-only rule, stated in the proposal's own voice. It preempts the reviewer question "where are the preliminary results?" by making their absence a deliberate posture rather than an omission. </w:t>
      </w:r>
      <w:r>
        <w:rPr>
          <w:rFonts w:ascii="Calibri" w:hAnsi="Calibri"/>
          <w:b/>
          <w:i w:val="0"/>
        </w:rPr>
        <w:t>How:</w:t>
      </w:r>
      <w:r>
        <w:rPr>
          <w:rFonts w:ascii="Calibri" w:hAnsi="Calibri"/>
          <w:b w:val="0"/>
          <w:i w:val="0"/>
        </w:rPr>
        <w:t xml:space="preserve"> it reframes what the reviewer should score: the plan's design quality, not a portfolio of prior outputs.</w:t>
      </w:r>
    </w:p>
    <w:p>
      <w:pPr>
        <w:spacing w:before="140" w:after="60"/>
      </w:pPr>
      <w:r>
        <w:rPr>
          <w:rFonts w:ascii="Calibri" w:hAnsi="Calibri"/>
          <w:b/>
          <w:i w:val="0"/>
          <w:sz w:val="24"/>
        </w:rPr>
        <w:t>§1 Background</w:t>
      </w:r>
    </w:p>
    <w:p>
      <w:pPr>
        <w:spacing w:after="160"/>
        <w:ind w:left="360"/>
      </w:pPr>
      <w:r>
        <w:rPr>
          <w:rFonts w:ascii="Calibri" w:hAnsi="Calibri"/>
          <w:b w:val="0"/>
          <w:i/>
          <w:sz w:val="20"/>
        </w:rPr>
        <w:t>"...largest ice-free region of Antarctica. For most of a century they were treated as the most stable landscape on Earth. That view is now in question."</w:t>
      </w:r>
    </w:p>
    <w:p>
      <w:pPr>
        <w:spacing w:after="120"/>
      </w:pPr>
      <w:r>
        <w:rPr>
          <w:rFonts w:ascii="Calibri" w:hAnsi="Calibri"/>
          <w:b/>
          <w:i w:val="0"/>
        </w:rPr>
        <w:t>Why:</w:t>
      </w:r>
      <w:r>
        <w:rPr>
          <w:rFonts w:ascii="Calibri" w:hAnsi="Calibri"/>
          <w:b w:val="0"/>
          <w:i w:val="0"/>
        </w:rPr>
        <w:t xml:space="preserve"> three sentences that set up the entire scientific tension: stability was the consensus (cosmogenic dating gives erosion rates of tens of cm per </w:t>
      </w:r>
      <w:r>
        <w:rPr>
          <w:rFonts w:ascii="Calibri" w:hAnsi="Calibri"/>
          <w:b w:val="0"/>
          <w:i/>
        </w:rPr>
        <w:t>million</w:t>
      </w:r>
      <w:r>
        <w:rPr>
          <w:rFonts w:ascii="Calibri" w:hAnsi="Calibri"/>
          <w:b w:val="0"/>
          <w:i w:val="0"/>
        </w:rPr>
        <w:t xml:space="preserve"> years; Miocene ash deposits still sit undisturbed), and change against that baseline is therefore loud. A reviewer needs this contrast to feel why small changes matter here. </w:t>
      </w:r>
      <w:r>
        <w:rPr>
          <w:rFonts w:ascii="Calibri" w:hAnsi="Calibri"/>
          <w:b/>
          <w:i w:val="0"/>
        </w:rPr>
        <w:t>How:</w:t>
      </w:r>
      <w:r>
        <w:rPr>
          <w:rFonts w:ascii="Calibri" w:hAnsi="Calibri"/>
          <w:b w:val="0"/>
          <w:i w:val="0"/>
        </w:rPr>
        <w:t xml:space="preserve"> "treated as" (not "is") keeps the claim historical and safe; "in question" states the current situation without overclaiming that stability is dead.</w:t>
      </w:r>
    </w:p>
    <w:p>
      <w:pPr>
        <w:spacing w:after="160"/>
        <w:ind w:left="360"/>
      </w:pPr>
      <w:r>
        <w:rPr>
          <w:rFonts w:ascii="Calibri" w:hAnsi="Calibri"/>
          <w:b w:val="0"/>
          <w:i/>
          <w:sz w:val="20"/>
        </w:rPr>
        <w:t xml:space="preserve">"The valleys are </w:t>
      </w:r>
      <w:r>
        <w:rPr>
          <w:rFonts w:ascii="Calibri" w:hAnsi="Calibri"/>
          <w:b w:val="0"/>
          <w:i/>
          <w:sz w:val="20"/>
        </w:rPr>
        <w:t>energy-limited</w:t>
      </w:r>
      <w:r>
        <w:rPr>
          <w:rFonts w:ascii="Calibri" w:hAnsi="Calibri"/>
          <w:b w:val="0"/>
          <w:i/>
          <w:sz w:val="20"/>
        </w:rPr>
        <w:t>: frozen water is everywhere, but there is barely enough summer heat to melt any of it."</w:t>
      </w:r>
    </w:p>
    <w:p>
      <w:pPr>
        <w:spacing w:after="120"/>
      </w:pPr>
      <w:r>
        <w:rPr>
          <w:rFonts w:ascii="Calibri" w:hAnsi="Calibri"/>
          <w:b/>
          <w:i w:val="0"/>
        </w:rPr>
        <w:t>Why:</w:t>
      </w:r>
      <w:r>
        <w:rPr>
          <w:rFonts w:ascii="Calibri" w:hAnsi="Calibri"/>
          <w:b w:val="0"/>
          <w:i w:val="0"/>
        </w:rPr>
        <w:t xml:space="preserve"> this single definition carries the whole causal argument of O1. If heat is the scarce input, then heat — not water supply — should control the response. H1 is this sentence turned into a testable statement. </w:t>
      </w:r>
      <w:r>
        <w:rPr>
          <w:rFonts w:ascii="Calibri" w:hAnsi="Calibri"/>
          <w:b/>
          <w:i w:val="0"/>
        </w:rPr>
        <w:t>How:</w:t>
      </w:r>
      <w:r>
        <w:rPr>
          <w:rFonts w:ascii="Calibri" w:hAnsi="Calibri"/>
          <w:b w:val="0"/>
          <w:i w:val="0"/>
        </w:rPr>
        <w:t xml:space="preserve"> defining "energy-limited" at first use follows the rule that a proposal must parse on first read by a non-specialist panelist.</w:t>
      </w:r>
    </w:p>
    <w:p>
      <w:pPr>
        <w:spacing w:after="160"/>
        <w:ind w:left="360"/>
      </w:pPr>
      <w:r>
        <w:rPr>
          <w:rFonts w:ascii="Calibri" w:hAnsi="Calibri"/>
          <w:b w:val="0"/>
          <w:i/>
          <w:sz w:val="20"/>
        </w:rPr>
        <w:t>"</w:t>
      </w:r>
      <w:r>
        <w:rPr>
          <w:rFonts w:ascii="Calibri" w:hAnsi="Calibri"/>
          <w:b w:val="0"/>
          <w:i/>
          <w:sz w:val="20"/>
        </w:rPr>
        <w:t>What already exists</w:t>
      </w:r>
      <w:r>
        <w:rPr>
          <w:rFonts w:ascii="Calibri" w:hAnsi="Calibri"/>
          <w:b w:val="0"/>
          <w:i/>
          <w:sz w:val="20"/>
        </w:rPr>
        <w:t>" (three bullets: terrain-only U-Net, REMA validation, three-epoch change maps)</w:t>
      </w:r>
    </w:p>
    <w:p>
      <w:pPr>
        <w:spacing w:after="120"/>
      </w:pPr>
      <w:r>
        <w:rPr>
          <w:rFonts w:ascii="Calibri" w:hAnsi="Calibri"/>
          <w:b/>
          <w:i w:val="0"/>
        </w:rPr>
        <w:t>Why:</w:t>
      </w:r>
      <w:r>
        <w:rPr>
          <w:rFonts w:ascii="Calibri" w:hAnsi="Calibri"/>
          <w:b w:val="0"/>
          <w:i w:val="0"/>
        </w:rPr>
        <w:t xml:space="preserve"> the fair-credit ledger. Each bullet is something the proposal does NOT need to invent, which shrinks the perceived risk of the plan. Reviewers score feasibility; showing that the hard foundational pieces are published work makes the plan look buildable without claiming any of it as ours. </w:t>
      </w:r>
      <w:r>
        <w:rPr>
          <w:rFonts w:ascii="Calibri" w:hAnsi="Calibri"/>
          <w:b/>
          <w:i w:val="0"/>
        </w:rPr>
        <w:t>How:</w:t>
      </w:r>
      <w:r>
        <w:rPr>
          <w:rFonts w:ascii="Calibri" w:hAnsi="Calibri"/>
          <w:b w:val="0"/>
          <w:i w:val="0"/>
        </w:rPr>
        <w:t xml:space="preserve"> the three bullets deliberately mirror Barlow's three methodological pillars, in the order the pipeline runs: detect → validate the ruler → difference.</w:t>
      </w:r>
    </w:p>
    <w:p>
      <w:pPr>
        <w:spacing w:after="160"/>
        <w:ind w:left="360"/>
      </w:pPr>
      <w:r>
        <w:rPr>
          <w:rFonts w:ascii="Calibri" w:hAnsi="Calibri"/>
          <w:b w:val="0"/>
          <w:i/>
          <w:sz w:val="20"/>
        </w:rPr>
        <w:t>"</w:t>
      </w:r>
      <w:r>
        <w:rPr>
          <w:rFonts w:ascii="Calibri" w:hAnsi="Calibri"/>
          <w:b w:val="0"/>
          <w:i/>
          <w:sz w:val="20"/>
        </w:rPr>
        <w:t>What does not exist</w:t>
      </w:r>
      <w:r>
        <w:rPr>
          <w:rFonts w:ascii="Calibri" w:hAnsi="Calibri"/>
          <w:b w:val="0"/>
          <w:i/>
          <w:sz w:val="20"/>
        </w:rPr>
        <w:t>... it does not test why... and its analysis is masked to the stream channels, so everything the elevation differencing measures outside them... was discarded unexamined."</w:t>
      </w:r>
    </w:p>
    <w:p>
      <w:pPr>
        <w:spacing w:after="120"/>
      </w:pPr>
      <w:r>
        <w:rPr>
          <w:rFonts w:ascii="Calibri" w:hAnsi="Calibri"/>
          <w:b/>
          <w:i w:val="0"/>
        </w:rPr>
        <w:t>Why:</w:t>
      </w:r>
      <w:r>
        <w:rPr>
          <w:rFonts w:ascii="Calibri" w:hAnsi="Calibri"/>
          <w:b w:val="0"/>
          <w:i w:val="0"/>
        </w:rPr>
        <w:t xml:space="preserve"> the gap statement is the proposal's reason to exist, so it names both gaps in parallel structure. "Discarded unexamined" is the strongest honest phrasing: the measurement of the whole surface already happens inside a DoD; Barlow's channel mask throws most of it away. That framing makes O2 sound like picking up dropped data, not inventing a new instrument — which is exactly what it is. </w:t>
      </w:r>
      <w:r>
        <w:rPr>
          <w:rFonts w:ascii="Calibri" w:hAnsi="Calibri"/>
          <w:b/>
          <w:i w:val="0"/>
        </w:rPr>
        <w:t>How:</w:t>
      </w:r>
      <w:r>
        <w:rPr>
          <w:rFonts w:ascii="Calibri" w:hAnsi="Calibri"/>
          <w:b w:val="0"/>
          <w:i w:val="0"/>
        </w:rPr>
        <w:t xml:space="preserve"> "named in the dissertation as future work" (for drivers) shows the gap is real by the prior author's own account, not manufactured by us.</w:t>
      </w:r>
    </w:p>
    <w:p>
      <w:pPr>
        <w:spacing w:after="160"/>
        <w:ind w:left="360"/>
      </w:pPr>
      <w:r>
        <w:rPr>
          <w:rFonts w:ascii="Calibri" w:hAnsi="Calibri"/>
          <w:b w:val="0"/>
          <w:i/>
          <w:sz w:val="20"/>
        </w:rPr>
        <w:t>"</w:t>
      </w:r>
      <w:r>
        <w:rPr>
          <w:rFonts w:ascii="Calibri" w:hAnsi="Calibri"/>
          <w:b w:val="0"/>
          <w:i/>
          <w:sz w:val="20"/>
        </w:rPr>
        <w:t>Relevance to NASA</w:t>
      </w:r>
      <w:r>
        <w:rPr>
          <w:rFonts w:ascii="Calibri" w:hAnsi="Calibri"/>
          <w:b w:val="0"/>
          <w:i/>
          <w:sz w:val="20"/>
        </w:rPr>
        <w:t>..."</w:t>
      </w:r>
    </w:p>
    <w:p>
      <w:pPr>
        <w:spacing w:after="120"/>
      </w:pPr>
      <w:r>
        <w:rPr>
          <w:rFonts w:ascii="Calibri" w:hAnsi="Calibri"/>
          <w:b/>
          <w:i w:val="0"/>
        </w:rPr>
        <w:t>Why:</w:t>
      </w:r>
      <w:r>
        <w:rPr>
          <w:rFonts w:ascii="Calibri" w:hAnsi="Calibri"/>
          <w:b w:val="0"/>
          <w:i w:val="0"/>
        </w:rPr>
        <w:t xml:space="preserve"> Relevance to SMD is a </w:t>
      </w:r>
      <w:r>
        <w:rPr>
          <w:rFonts w:ascii="Calibri" w:hAnsi="Calibri"/>
          <w:b w:val="0"/>
          <w:i/>
        </w:rPr>
        <w:t>scored criterion</w:t>
      </w:r>
      <w:r>
        <w:rPr>
          <w:rFonts w:ascii="Calibri" w:hAnsi="Calibri"/>
          <w:b w:val="0"/>
          <w:i w:val="0"/>
        </w:rPr>
        <w:t xml:space="preserve"> in FINESST review; a proposal without an explicit relevance statement forfeits points a paragraph can win. </w:t>
      </w:r>
      <w:r>
        <w:rPr>
          <w:rFonts w:ascii="Calibri" w:hAnsi="Calibri"/>
          <w:b/>
          <w:i w:val="0"/>
        </w:rPr>
        <w:t>How:</w:t>
      </w:r>
      <w:r>
        <w:rPr>
          <w:rFonts w:ascii="Calibri" w:hAnsi="Calibri"/>
          <w:b w:val="0"/>
          <w:i w:val="0"/>
        </w:rPr>
        <w:t xml:space="preserve"> four arguments in rising order of reach: (1) the 2001 baseline literally </w:t>
      </w:r>
      <w:r>
        <w:rPr>
          <w:rFonts w:ascii="Calibri" w:hAnsi="Calibri"/>
          <w:b w:val="0"/>
          <w:i/>
        </w:rPr>
        <w:t>is</w:t>
      </w:r>
      <w:r>
        <w:rPr>
          <w:rFonts w:ascii="Calibri" w:hAnsi="Calibri"/>
          <w:b w:val="0"/>
          <w:i w:val="0"/>
        </w:rPr>
        <w:t xml:space="preserve"> NASA data (ATM lidar) being revived; (2) the methods transfer to NASA missions (ICESat-2, NISAR elevation records); (3) the MDVs are NASA's canonical planetary-analog terrain; (4) the FI development itself matches the Division's open-science goals. If a reviewer rejects one leg, three remain.</w:t>
      </w:r>
    </w:p>
    <w:p>
      <w:pPr>
        <w:spacing w:before="140" w:after="60"/>
      </w:pPr>
      <w:r>
        <w:rPr>
          <w:rFonts w:ascii="Calibri" w:hAnsi="Calibri"/>
          <w:b/>
          <w:i w:val="0"/>
          <w:sz w:val="24"/>
        </w:rPr>
        <w:t>§2 Objectives</w:t>
      </w:r>
    </w:p>
    <w:p>
      <w:pPr>
        <w:spacing w:after="160"/>
        <w:ind w:left="360"/>
      </w:pPr>
      <w:r>
        <w:rPr>
          <w:rFonts w:ascii="Calibri" w:hAnsi="Calibri"/>
          <w:b w:val="0"/>
          <w:i/>
          <w:sz w:val="20"/>
        </w:rPr>
        <w:t>"</w:t>
      </w:r>
      <w:r>
        <w:rPr>
          <w:rFonts w:ascii="Calibri" w:hAnsi="Calibri"/>
          <w:b w:val="0"/>
          <w:i/>
          <w:sz w:val="20"/>
        </w:rPr>
        <w:t>O1 — Attribution.</w:t>
      </w:r>
      <w:r>
        <w:rPr>
          <w:rFonts w:ascii="Calibri" w:hAnsi="Calibri"/>
          <w:b w:val="0"/>
          <w:i/>
          <w:sz w:val="20"/>
        </w:rPr>
        <w:t xml:space="preserve"> Determine which climate drivers control each stream's rate of geomorphic change."</w:t>
      </w:r>
    </w:p>
    <w:p>
      <w:pPr>
        <w:spacing w:after="120"/>
      </w:pPr>
      <w:r>
        <w:rPr>
          <w:rFonts w:ascii="Calibri" w:hAnsi="Calibri"/>
          <w:b/>
          <w:i w:val="0"/>
        </w:rPr>
        <w:t>Why:</w:t>
      </w:r>
      <w:r>
        <w:rPr>
          <w:rFonts w:ascii="Calibri" w:hAnsi="Calibri"/>
          <w:b w:val="0"/>
          <w:i w:val="0"/>
        </w:rPr>
        <w:t xml:space="preserve"> O1 is first because it is the headline science and the reason the project is a </w:t>
      </w:r>
      <w:r>
        <w:rPr>
          <w:rFonts w:ascii="Calibri" w:hAnsi="Calibri"/>
          <w:b w:val="0"/>
          <w:i/>
        </w:rPr>
        <w:t>science</w:t>
      </w:r>
      <w:r>
        <w:rPr>
          <w:rFonts w:ascii="Calibri" w:hAnsi="Calibri"/>
          <w:b w:val="0"/>
          <w:i w:val="0"/>
        </w:rPr>
        <w:t xml:space="preserve"> proposal rather than a mapping exercise. Everything else in the proposal either feeds it (O2 gives it more change types to explain, O3 makes its inputs trustworthy) or supports it. </w:t>
      </w:r>
      <w:r>
        <w:rPr>
          <w:rFonts w:ascii="Calibri" w:hAnsi="Calibri"/>
          <w:b/>
          <w:i w:val="0"/>
        </w:rPr>
        <w:t>How:</w:t>
      </w:r>
      <w:r>
        <w:rPr>
          <w:rFonts w:ascii="Calibri" w:hAnsi="Calibri"/>
          <w:b w:val="0"/>
          <w:i w:val="0"/>
        </w:rPr>
        <w:t xml:space="preserve"> the driver list (PDD, sunlight, discharge, glacier mass balance, thaw depth) is exactly the list of datasets in §4 — every named driver is backed by a named, free data source. No driver is promised that can't be built.</w:t>
      </w:r>
    </w:p>
    <w:p>
      <w:pPr>
        <w:spacing w:after="160"/>
        <w:ind w:left="360"/>
      </w:pPr>
      <w:r>
        <w:rPr>
          <w:rFonts w:ascii="Calibri" w:hAnsi="Calibri"/>
          <w:b w:val="0"/>
          <w:i/>
          <w:sz w:val="20"/>
        </w:rPr>
        <w:t>"Hypothesis: cumulative melt energy predicts sediment movement better than water volume alone. This is testable and falsifiable — if discharge alone predicts just as well, the hypothesis fails and that is a publishable answer too."</w:t>
      </w:r>
    </w:p>
    <w:p>
      <w:pPr>
        <w:spacing w:after="120"/>
      </w:pPr>
      <w:r>
        <w:rPr>
          <w:rFonts w:ascii="Calibri" w:hAnsi="Calibri"/>
          <w:b/>
          <w:i w:val="0"/>
        </w:rPr>
        <w:t>Why:</w:t>
      </w:r>
      <w:r>
        <w:rPr>
          <w:rFonts w:ascii="Calibri" w:hAnsi="Calibri"/>
          <w:b w:val="0"/>
          <w:i w:val="0"/>
        </w:rPr>
        <w:t xml:space="preserve"> review panels reward hypotheses that can lose. Stating the failure condition in the objective itself signals scientific maturity and removes the "what if you're wrong?" attack — being wrong is a listed outcome. </w:t>
      </w:r>
      <w:r>
        <w:rPr>
          <w:rFonts w:ascii="Calibri" w:hAnsi="Calibri"/>
          <w:b/>
          <w:i w:val="0"/>
        </w:rPr>
        <w:t>How:</w:t>
      </w:r>
      <w:r>
        <w:rPr>
          <w:rFonts w:ascii="Calibri" w:hAnsi="Calibri"/>
          <w:b w:val="0"/>
          <w:i w:val="0"/>
        </w:rPr>
        <w:t xml:space="preserve"> the energy-vs-water contrast is not arbitrary: in an energy-limited system (§1), energy </w:t>
      </w:r>
      <w:r>
        <w:rPr>
          <w:rFonts w:ascii="Calibri" w:hAnsi="Calibri"/>
          <w:b w:val="0"/>
          <w:i/>
        </w:rPr>
        <w:t>should</w:t>
      </w:r>
      <w:r>
        <w:rPr>
          <w:rFonts w:ascii="Calibri" w:hAnsi="Calibri"/>
          <w:b w:val="0"/>
          <w:i w:val="0"/>
        </w:rPr>
        <w:t xml:space="preserve"> win. The hypothesis is the background section cashed out.</w:t>
      </w:r>
    </w:p>
    <w:p>
      <w:pPr>
        <w:spacing w:after="160"/>
        <w:ind w:left="360"/>
      </w:pPr>
      <w:r>
        <w:rPr>
          <w:rFonts w:ascii="Calibri" w:hAnsi="Calibri"/>
          <w:b w:val="0"/>
          <w:i/>
          <w:sz w:val="20"/>
        </w:rPr>
        <w:t>"</w:t>
      </w:r>
      <w:r>
        <w:rPr>
          <w:rFonts w:ascii="Calibri" w:hAnsi="Calibri"/>
          <w:b w:val="0"/>
          <w:i/>
          <w:sz w:val="20"/>
        </w:rPr>
        <w:t>O2 — Landscape-wide geomorphic change.</w:t>
      </w:r>
      <w:r>
        <w:rPr>
          <w:rFonts w:ascii="Calibri" w:hAnsi="Calibri"/>
          <w:b w:val="0"/>
          <w:i/>
          <w:sz w:val="20"/>
        </w:rPr>
        <w:t>... classify each patch of significant change by the process responsible: channel shift, thaw-driven subsidence (thermokarst), slope movement, fan growth, lake-margin change."</w:t>
      </w:r>
    </w:p>
    <w:p>
      <w:pPr>
        <w:spacing w:after="120"/>
      </w:pPr>
      <w:r>
        <w:rPr>
          <w:rFonts w:ascii="Calibri" w:hAnsi="Calibri"/>
          <w:b/>
          <w:i w:val="0"/>
        </w:rPr>
        <w:t>Why:</w:t>
      </w:r>
      <w:r>
        <w:rPr>
          <w:rFonts w:ascii="Calibri" w:hAnsi="Calibri"/>
          <w:b w:val="0"/>
          <w:i w:val="0"/>
        </w:rPr>
        <w:t xml:space="preserve"> this is the project's scope claim — geomorphology broadly, not channels only. The five named process types make "landscape-wide" concrete instead of hand-wavy, and each type is a real MDV phenomenon (thermokarst and lake-level rise are documented in the region; lake margins move meters because closed-basin levels integrate melt). </w:t>
      </w:r>
      <w:r>
        <w:rPr>
          <w:rFonts w:ascii="Calibri" w:hAnsi="Calibri"/>
          <w:b/>
          <w:i w:val="0"/>
        </w:rPr>
        <w:t>How:</w:t>
      </w:r>
      <w:r>
        <w:rPr>
          <w:rFonts w:ascii="Calibri" w:hAnsi="Calibri"/>
          <w:b w:val="0"/>
          <w:i w:val="0"/>
        </w:rPr>
        <w:t xml:space="preserve"> classification is the bridge to O1: each process type gets its own driver test. That is what H2 means by "distinct driver fingerprints" — channels should follow melt energy and water, thermokarst should follow thaw depth. If the types </w:t>
      </w:r>
      <w:r>
        <w:rPr>
          <w:rFonts w:ascii="Calibri" w:hAnsi="Calibri"/>
          <w:b w:val="0"/>
          <w:i/>
        </w:rPr>
        <w:t>share</w:t>
      </w:r>
      <w:r>
        <w:rPr>
          <w:rFonts w:ascii="Calibri" w:hAnsi="Calibri"/>
          <w:b w:val="0"/>
          <w:i w:val="0"/>
        </w:rPr>
        <w:t xml:space="preserve"> one driver, the sentence "that is also an answer" makes the null explicit and publishable. Note also what the classes quietly handle: lake-margin change is mostly a </w:t>
      </w:r>
      <w:r>
        <w:rPr>
          <w:rFonts w:ascii="Calibri" w:hAnsi="Calibri"/>
          <w:b w:val="0"/>
          <w:i/>
        </w:rPr>
        <w:t>water-level</w:t>
      </w:r>
      <w:r>
        <w:rPr>
          <w:rFonts w:ascii="Calibri" w:hAnsi="Calibri"/>
          <w:b w:val="0"/>
          <w:i w:val="0"/>
        </w:rPr>
        <w:t xml:space="preserve"> signal, not sediment transport — giving it its own class keeps it from contaminating the geomorphic classes.</w:t>
      </w:r>
    </w:p>
    <w:p>
      <w:pPr>
        <w:spacing w:after="160"/>
        <w:ind w:left="360"/>
      </w:pPr>
      <w:r>
        <w:rPr>
          <w:rFonts w:ascii="Calibri" w:hAnsi="Calibri"/>
          <w:b w:val="0"/>
          <w:i/>
          <w:sz w:val="20"/>
        </w:rPr>
        <w:t>"One practical note on satellite data... Measuring and correcting that disagreement is part of the method (§3), not an objective."</w:t>
      </w:r>
    </w:p>
    <w:p>
      <w:pPr>
        <w:spacing w:after="120"/>
      </w:pPr>
      <w:r>
        <w:rPr>
          <w:rFonts w:ascii="Calibri" w:hAnsi="Calibri"/>
          <w:b/>
          <w:i w:val="0"/>
        </w:rPr>
        <w:t>Why:</w:t>
      </w:r>
      <w:r>
        <w:rPr>
          <w:rFonts w:ascii="Calibri" w:hAnsi="Calibri"/>
          <w:b w:val="0"/>
          <w:i w:val="0"/>
        </w:rPr>
        <w:t xml:space="preserve"> this paragraph is the tombstone of the old O2 (cross-sensor generalization). The sensor problem is real and a reviewer will think of it, so the proposal must show it is handled — but handled as plumbing, not headline. Demoting it explicitly prevents a reviewer from mistaking the project for a remote-sensing methods exercise. </w:t>
      </w:r>
      <w:r>
        <w:rPr>
          <w:rFonts w:ascii="Calibri" w:hAnsi="Calibri"/>
          <w:b/>
          <w:i w:val="0"/>
        </w:rPr>
        <w:t>How:</w:t>
      </w:r>
      <w:r>
        <w:rPr>
          <w:rFonts w:ascii="Calibri" w:hAnsi="Calibri"/>
          <w:b w:val="0"/>
          <w:i w:val="0"/>
        </w:rPr>
        <w:t xml:space="preserve"> one sentence of stakes (the record only continues on REMA), one sentence of placement (it's in §3). Nothing more — proportionality is the message.</w:t>
      </w:r>
    </w:p>
    <w:p>
      <w:pPr>
        <w:spacing w:after="160"/>
        <w:ind w:left="360"/>
      </w:pPr>
      <w:r>
        <w:rPr>
          <w:rFonts w:ascii="Calibri" w:hAnsi="Calibri"/>
          <w:b w:val="0"/>
          <w:i/>
          <w:sz w:val="20"/>
        </w:rPr>
        <w:t>"</w:t>
      </w:r>
      <w:r>
        <w:rPr>
          <w:rFonts w:ascii="Calibri" w:hAnsi="Calibri"/>
          <w:b w:val="0"/>
          <w:i/>
          <w:sz w:val="20"/>
        </w:rPr>
        <w:t>O3 — Calibrated uncertainty.</w:t>
      </w:r>
      <w:r>
        <w:rPr>
          <w:rFonts w:ascii="Calibri" w:hAnsi="Calibri"/>
          <w:b w:val="0"/>
          <w:i/>
          <w:sz w:val="20"/>
        </w:rPr>
        <w:t>... on ground that did not change, a 95%-confidence threshold should be exceeded by roughly 5% of pixels — no more, no less."</w:t>
      </w:r>
    </w:p>
    <w:p>
      <w:pPr>
        <w:spacing w:after="120"/>
      </w:pPr>
      <w:r>
        <w:rPr>
          <w:rFonts w:ascii="Calibri" w:hAnsi="Calibri"/>
          <w:b/>
          <w:i w:val="0"/>
        </w:rPr>
        <w:t>Why:</w:t>
      </w:r>
      <w:r>
        <w:rPr>
          <w:rFonts w:ascii="Calibri" w:hAnsi="Calibri"/>
          <w:b w:val="0"/>
          <w:i w:val="0"/>
        </w:rPr>
        <w:t xml:space="preserve"> O3 is what makes O2 credible. Outside the channels there is no prior on where change should appear, so the only defense against a map full of noise is a threshold that provably behaves. It also produces the most reusable deliverable (an uncertainty-layer recipe any DEM-differencing study can copy). </w:t>
      </w:r>
      <w:r>
        <w:rPr>
          <w:rFonts w:ascii="Calibri" w:hAnsi="Calibri"/>
          <w:b/>
          <w:i w:val="0"/>
        </w:rPr>
        <w:t>How:</w:t>
      </w:r>
      <w:r>
        <w:rPr>
          <w:rFonts w:ascii="Calibri" w:hAnsi="Calibri"/>
          <w:b w:val="0"/>
          <w:i w:val="0"/>
        </w:rPr>
        <w:t xml:space="preserve"> the "no more, no less" calibration test is strict on purpose: exceeding 5% means the threshold lies (false confidence); far under 5% means it wastes real signal (too conservative). Verifiable calibration is a claim very few change-detection studies make — it's the proposal's quality signature.</w:t>
      </w:r>
    </w:p>
    <w:p>
      <w:pPr>
        <w:spacing w:after="160"/>
        <w:ind w:left="360"/>
      </w:pPr>
      <w:r>
        <w:rPr>
          <w:rFonts w:ascii="Calibri" w:hAnsi="Calibri"/>
          <w:b w:val="0"/>
          <w:i/>
          <w:sz w:val="20"/>
        </w:rPr>
        <w:t>"Together the three objectives turn a one-time survey into a continuing, self-checking monitoring capability with an explanatory model behind it."</w:t>
      </w:r>
    </w:p>
    <w:p>
      <w:pPr>
        <w:spacing w:after="120"/>
      </w:pPr>
      <w:r>
        <w:rPr>
          <w:rFonts w:ascii="Calibri" w:hAnsi="Calibri"/>
          <w:b/>
          <w:i w:val="0"/>
        </w:rPr>
        <w:t>Why:</w:t>
      </w:r>
      <w:r>
        <w:rPr>
          <w:rFonts w:ascii="Calibri" w:hAnsi="Calibri"/>
          <w:b w:val="0"/>
          <w:i w:val="0"/>
        </w:rPr>
        <w:t xml:space="preserve"> the closing line answers "so what do we have at the end?" in one sentence — the difference between three projects stapled together and one program.</w:t>
      </w:r>
    </w:p>
    <w:p>
      <w:pPr>
        <w:spacing w:before="140" w:after="60"/>
      </w:pPr>
      <w:r>
        <w:rPr>
          <w:rFonts w:ascii="Calibri" w:hAnsi="Calibri"/>
          <w:b/>
          <w:i w:val="0"/>
          <w:sz w:val="24"/>
        </w:rPr>
        <w:t>§3 Planned approach</w:t>
      </w:r>
    </w:p>
    <w:p>
      <w:pPr>
        <w:spacing w:after="160"/>
        <w:ind w:left="360"/>
      </w:pPr>
      <w:r>
        <w:rPr>
          <w:rFonts w:ascii="Calibri" w:hAnsi="Calibri"/>
          <w:b w:val="0"/>
          <w:i/>
          <w:sz w:val="20"/>
        </w:rPr>
        <w:t>O1 step 1: "...keep only changes larger than the detection floor, sum inside the stream's channel outline, normalize by channel area and by years elapsed."</w:t>
      </w:r>
    </w:p>
    <w:p>
      <w:pPr>
        <w:spacing w:after="120"/>
      </w:pPr>
      <w:r>
        <w:rPr>
          <w:rFonts w:ascii="Calibri" w:hAnsi="Calibri"/>
          <w:b/>
          <w:i w:val="0"/>
        </w:rPr>
        <w:t>Why:</w:t>
      </w:r>
      <w:r>
        <w:rPr>
          <w:rFonts w:ascii="Calibri" w:hAnsi="Calibri"/>
          <w:b w:val="0"/>
          <w:i w:val="0"/>
        </w:rPr>
        <w:t xml:space="preserve"> each clause kills a specific artifact. Thresholding kills noise counted as change; area-normalizing kills "bigger footprint = bigger number" (survey footprints differ between epochs); per-year rates make epochs of different lengths comparable. </w:t>
      </w:r>
      <w:r>
        <w:rPr>
          <w:rFonts w:ascii="Calibri" w:hAnsi="Calibri"/>
          <w:b/>
          <w:i w:val="0"/>
        </w:rPr>
        <w:t>How:</w:t>
      </w:r>
      <w:r>
        <w:rPr>
          <w:rFonts w:ascii="Calibri" w:hAnsi="Calibri"/>
          <w:b w:val="0"/>
          <w:i w:val="0"/>
        </w:rPr>
        <w:t xml:space="preserve"> stating the normalizations here — rather than discovering them in Year 1 — shows the FI already knows where this analysis usually goes wrong.</w:t>
      </w:r>
    </w:p>
    <w:p>
      <w:pPr>
        <w:spacing w:after="160"/>
        <w:ind w:left="360"/>
      </w:pPr>
      <w:r>
        <w:rPr>
          <w:rFonts w:ascii="Calibri" w:hAnsi="Calibri"/>
          <w:b w:val="0"/>
          <w:i/>
          <w:sz w:val="20"/>
        </w:rPr>
        <w:t>O1 step 3: "Fit two model families — hierarchical regression (interpretable) and random forest (flexible)... Validate only on streams held out of fitting. Agreement between the two families is the sanity check."</w:t>
      </w:r>
    </w:p>
    <w:p>
      <w:pPr>
        <w:spacing w:after="120"/>
      </w:pPr>
      <w:r>
        <w:rPr>
          <w:rFonts w:ascii="Calibri" w:hAnsi="Calibri"/>
          <w:b/>
          <w:i w:val="0"/>
        </w:rPr>
        <w:t>Why:</w:t>
      </w:r>
      <w:r>
        <w:rPr>
          <w:rFonts w:ascii="Calibri" w:hAnsi="Calibri"/>
          <w:b w:val="0"/>
          <w:i w:val="0"/>
        </w:rPr>
        <w:t xml:space="preserve"> two families because each covers the other's weakness: regression gives interpretable coefficients but assumes a functional form; a random forest fits anything but explains little. Agreement means the signal is in the data, not the model choice. </w:t>
      </w:r>
      <w:r>
        <w:rPr>
          <w:rFonts w:ascii="Calibri" w:hAnsi="Calibri"/>
          <w:b/>
          <w:i w:val="0"/>
        </w:rPr>
        <w:t>How:</w:t>
      </w:r>
      <w:r>
        <w:rPr>
          <w:rFonts w:ascii="Calibri" w:hAnsi="Calibri"/>
          <w:b w:val="0"/>
          <w:i w:val="0"/>
        </w:rPr>
        <w:t xml:space="preserve"> held-out-stream validation is the honest version of "our model fits well" — with few streams, in-sample fit is nearly meaningless, and a reviewer who knows small-n statistics will look for exactly this sentence.</w:t>
      </w:r>
    </w:p>
    <w:p>
      <w:pPr>
        <w:spacing w:after="160"/>
        <w:ind w:left="360"/>
      </w:pPr>
      <w:r>
        <w:rPr>
          <w:rFonts w:ascii="Calibri" w:hAnsi="Calibri"/>
          <w:b w:val="0"/>
          <w:i/>
          <w:sz w:val="20"/>
        </w:rPr>
        <w:t>O2 steps 1–3 (threshold the whole floor → classify by shape and setting → per-type driver tests)</w:t>
      </w:r>
    </w:p>
    <w:p>
      <w:pPr>
        <w:spacing w:after="120"/>
      </w:pPr>
      <w:r>
        <w:rPr>
          <w:rFonts w:ascii="Calibri" w:hAnsi="Calibri"/>
          <w:b/>
          <w:i w:val="0"/>
        </w:rPr>
        <w:t>Why:</w:t>
      </w:r>
      <w:r>
        <w:rPr>
          <w:rFonts w:ascii="Calibri" w:hAnsi="Calibri"/>
          <w:b w:val="0"/>
          <w:i w:val="0"/>
        </w:rPr>
        <w:t xml:space="preserve"> the three steps show O2 is a pipeline, not a wish: detection is inherited from the existing DoD machinery (nothing new to invent), classification uses observable evidence (slope position, distance to channels and lakes, ice-cored terrain), and the output feeds directly into O1's already-built driver models. </w:t>
      </w:r>
      <w:r>
        <w:rPr>
          <w:rFonts w:ascii="Calibri" w:hAnsi="Calibri"/>
          <w:b/>
          <w:i w:val="0"/>
        </w:rPr>
        <w:t>How:</w:t>
      </w:r>
      <w:r>
        <w:rPr>
          <w:rFonts w:ascii="Calibri" w:hAnsi="Calibri"/>
          <w:b w:val="0"/>
          <w:i w:val="0"/>
        </w:rPr>
        <w:t xml:space="preserve"> ordering matters — thresholds come from O3, so O2 is explicitly </w:t>
      </w:r>
      <w:r>
        <w:rPr>
          <w:rFonts w:ascii="Calibri" w:hAnsi="Calibri"/>
          <w:b w:val="0"/>
          <w:i/>
        </w:rPr>
        <w:t>gated</w:t>
      </w:r>
      <w:r>
        <w:rPr>
          <w:rFonts w:ascii="Calibri" w:hAnsi="Calibri"/>
          <w:b w:val="0"/>
          <w:i w:val="0"/>
        </w:rPr>
        <w:t xml:space="preserve"> by O3. The dependencies among objectives are stated, which is what makes the Year-2 placement in §6 credible.</w:t>
      </w:r>
    </w:p>
    <w:p>
      <w:pPr>
        <w:spacing w:after="160"/>
        <w:ind w:left="360"/>
      </w:pPr>
      <w:r>
        <w:rPr>
          <w:rFonts w:ascii="Calibri" w:hAnsi="Calibri"/>
          <w:b w:val="0"/>
          <w:i/>
          <w:sz w:val="20"/>
        </w:rPr>
        <w:t>"</w:t>
      </w:r>
      <w:r>
        <w:rPr>
          <w:rFonts w:ascii="Calibri" w:hAnsi="Calibri"/>
          <w:b w:val="0"/>
          <w:i/>
          <w:sz w:val="20"/>
        </w:rPr>
        <w:t>Sensor continuity (method, Years 1–2)</w:t>
      </w:r>
      <w:r>
        <w:rPr>
          <w:rFonts w:ascii="Calibri" w:hAnsi="Calibri"/>
          <w:b w:val="0"/>
          <w:i/>
          <w:sz w:val="20"/>
        </w:rPr>
        <w:t>..."</w:t>
      </w:r>
    </w:p>
    <w:p>
      <w:pPr>
        <w:spacing w:after="120"/>
      </w:pPr>
      <w:r>
        <w:rPr>
          <w:rFonts w:ascii="Calibri" w:hAnsi="Calibri"/>
          <w:b/>
          <w:i w:val="0"/>
        </w:rPr>
        <w:t>Why/How:</w:t>
      </w:r>
      <w:r>
        <w:rPr>
          <w:rFonts w:ascii="Calibri" w:hAnsi="Calibri"/>
          <w:b w:val="0"/>
          <w:i w:val="0"/>
        </w:rPr>
        <w:t xml:space="preserve"> same demotion logic as §2's note — present so the reviewer sees it is scheduled and scoped, small so it can't be mistaken for the point.</w:t>
      </w:r>
    </w:p>
    <w:p>
      <w:pPr>
        <w:spacing w:after="160"/>
        <w:ind w:left="360"/>
      </w:pPr>
      <w:r>
        <w:rPr>
          <w:rFonts w:ascii="Calibri" w:hAnsi="Calibri"/>
          <w:b w:val="0"/>
          <w:i/>
          <w:sz w:val="20"/>
        </w:rPr>
        <w:t>"</w:t>
      </w:r>
      <w:r>
        <w:rPr>
          <w:rFonts w:ascii="Calibri" w:hAnsi="Calibri"/>
          <w:b w:val="0"/>
          <w:i/>
          <w:sz w:val="20"/>
        </w:rPr>
        <w:t>Methods note.</w:t>
      </w:r>
      <w:r>
        <w:rPr>
          <w:rFonts w:ascii="Calibri" w:hAnsi="Calibri"/>
          <w:b w:val="0"/>
          <w:i/>
          <w:sz w:val="20"/>
        </w:rPr>
        <w:t xml:space="preserve"> All elevation differencing uses robust statistics (NMAD...) because elevation errors in this terrain are known to be heavy-tailed..."</w:t>
      </w:r>
    </w:p>
    <w:p>
      <w:pPr>
        <w:spacing w:after="120"/>
      </w:pPr>
      <w:r>
        <w:rPr>
          <w:rFonts w:ascii="Calibri" w:hAnsi="Calibri"/>
          <w:b/>
          <w:i w:val="0"/>
        </w:rPr>
        <w:t>Why:</w:t>
      </w:r>
      <w:r>
        <w:rPr>
          <w:rFonts w:ascii="Calibri" w:hAnsi="Calibri"/>
          <w:b w:val="0"/>
          <w:i w:val="0"/>
        </w:rPr>
        <w:t xml:space="preserve"> one technical commitment stated up front. Elevation error in this terrain has a few large blunders (heavy tails); a standard deviation would let those blunders inflate the noise estimate and hide real change. </w:t>
      </w:r>
      <w:r>
        <w:rPr>
          <w:rFonts w:ascii="Calibri" w:hAnsi="Calibri"/>
          <w:b/>
          <w:i w:val="0"/>
        </w:rPr>
        <w:t>How:</w:t>
      </w:r>
      <w:r>
        <w:rPr>
          <w:rFonts w:ascii="Calibri" w:hAnsi="Calibri"/>
          <w:b w:val="0"/>
          <w:i w:val="0"/>
        </w:rPr>
        <w:t xml:space="preserve"> "known to be heavy-tailed" leans on the published error analysis (Höhle &amp; Höhle; Barlow's own error model) without claiming any measurement of ours — consistent with plan-only.</w:t>
      </w:r>
    </w:p>
    <w:p>
      <w:pPr>
        <w:spacing w:before="140" w:after="60"/>
      </w:pPr>
      <w:r>
        <w:rPr>
          <w:rFonts w:ascii="Calibri" w:hAnsi="Calibri"/>
          <w:b/>
          <w:i w:val="0"/>
          <w:sz w:val="24"/>
        </w:rPr>
        <w:t>§4 What the project needs</w:t>
      </w:r>
    </w:p>
    <w:p>
      <w:pPr>
        <w:spacing w:after="160"/>
        <w:ind w:left="360"/>
      </w:pPr>
      <w:r>
        <w:rPr>
          <w:rFonts w:ascii="Calibri" w:hAnsi="Calibri"/>
          <w:b w:val="0"/>
          <w:i/>
          <w:sz w:val="20"/>
        </w:rPr>
        <w:t>The data table, with an "Availability" column reading "public, free" — and one row reading "author-gated — must be requested."</w:t>
      </w:r>
    </w:p>
    <w:p>
      <w:pPr>
        <w:spacing w:after="120"/>
      </w:pPr>
      <w:r>
        <w:rPr>
          <w:rFonts w:ascii="Calibri" w:hAnsi="Calibri"/>
          <w:b/>
          <w:i w:val="0"/>
        </w:rPr>
        <w:t>Why:</w:t>
      </w:r>
      <w:r>
        <w:rPr>
          <w:rFonts w:ascii="Calibri" w:hAnsi="Calibri"/>
          <w:b w:val="0"/>
          <w:i w:val="0"/>
        </w:rPr>
        <w:t xml:space="preserve"> the table exists to let a reviewer verify in ten seconds that the project cannot be data-blocked. The column says "availability," not "status" or "in hand" — the plan-only rule extends to not implying anything has been fetched. </w:t>
      </w:r>
      <w:r>
        <w:rPr>
          <w:rFonts w:ascii="Calibri" w:hAnsi="Calibri"/>
          <w:b/>
          <w:i w:val="0"/>
        </w:rPr>
        <w:t>How:</w:t>
      </w:r>
      <w:r>
        <w:rPr>
          <w:rFonts w:ascii="Calibri" w:hAnsi="Calibri"/>
          <w:b w:val="0"/>
          <w:i w:val="0"/>
        </w:rPr>
        <w:t xml:space="preserve"> putting the single gated item </w:t>
      </w:r>
      <w:r>
        <w:rPr>
          <w:rFonts w:ascii="Calibri" w:hAnsi="Calibri"/>
          <w:b w:val="0"/>
          <w:i/>
        </w:rPr>
        <w:t>in the same table</w:t>
      </w:r>
      <w:r>
        <w:rPr>
          <w:rFonts w:ascii="Calibri" w:hAnsi="Calibri"/>
          <w:b w:val="0"/>
          <w:i w:val="0"/>
        </w:rPr>
        <w:t xml:space="preserve"> rather than hiding it in prose is deliberate: the honesty is visible at the same glance as the mitigation pointer.</w:t>
      </w:r>
    </w:p>
    <w:p>
      <w:pPr>
        <w:spacing w:after="160"/>
        <w:ind w:left="360"/>
      </w:pPr>
      <w:r>
        <w:rPr>
          <w:rFonts w:ascii="Calibri" w:hAnsi="Calibri"/>
          <w:b w:val="0"/>
          <w:i/>
          <w:sz w:val="20"/>
        </w:rPr>
        <w:t>"</w:t>
      </w:r>
      <w:r>
        <w:rPr>
          <w:rFonts w:ascii="Calibri" w:hAnsi="Calibri"/>
          <w:b w:val="0"/>
          <w:i/>
          <w:sz w:val="20"/>
        </w:rPr>
        <w:t>Labels.</w:t>
      </w:r>
      <w:r>
        <w:rPr>
          <w:rFonts w:ascii="Calibri" w:hAnsi="Calibri"/>
          <w:b w:val="0"/>
          <w:i/>
          <w:sz w:val="20"/>
        </w:rPr>
        <w:t>... If that request fails, a comparable set will be re-digitized by hand. This costs weeks, not months, and is budgeted in Year 1."</w:t>
      </w:r>
    </w:p>
    <w:p>
      <w:pPr>
        <w:spacing w:after="120"/>
      </w:pPr>
      <w:r>
        <w:rPr>
          <w:rFonts w:ascii="Calibri" w:hAnsi="Calibri"/>
          <w:b/>
          <w:i w:val="0"/>
        </w:rPr>
        <w:t>Why:</w:t>
      </w:r>
      <w:r>
        <w:rPr>
          <w:rFonts w:ascii="Calibri" w:hAnsi="Calibri"/>
          <w:b w:val="0"/>
          <w:i w:val="0"/>
        </w:rPr>
        <w:t xml:space="preserve"> the label dependency is the proposal's only real external risk, so it gets its own paragraph with a fallback that depends on nobody. "Weeks, not months" sizes the fallback so the reviewer doesn't have to guess whether it wrecks the timeline. </w:t>
      </w:r>
      <w:r>
        <w:rPr>
          <w:rFonts w:ascii="Calibri" w:hAnsi="Calibri"/>
          <w:b/>
          <w:i w:val="0"/>
        </w:rPr>
        <w:t>How:</w:t>
      </w:r>
      <w:r>
        <w:rPr>
          <w:rFonts w:ascii="Calibri" w:hAnsi="Calibri"/>
          <w:b w:val="0"/>
          <w:i w:val="0"/>
        </w:rPr>
        <w:t xml:space="preserve"> the claim is credible because hand-labeling terrain features is the FI's documented prior experience (Research Readiness Statement carries the detail).</w:t>
      </w:r>
    </w:p>
    <w:p>
      <w:pPr>
        <w:spacing w:after="160"/>
        <w:ind w:left="360"/>
      </w:pPr>
      <w:r>
        <w:rPr>
          <w:rFonts w:ascii="Calibri" w:hAnsi="Calibri"/>
          <w:b w:val="0"/>
          <w:i/>
          <w:sz w:val="20"/>
        </w:rPr>
        <w:t>"</w:t>
      </w:r>
      <w:r>
        <w:rPr>
          <w:rFonts w:ascii="Calibri" w:hAnsi="Calibri"/>
          <w:b w:val="0"/>
          <w:i/>
          <w:sz w:val="20"/>
        </w:rPr>
        <w:t>Computing.</w:t>
      </w:r>
      <w:r>
        <w:rPr>
          <w:rFonts w:ascii="Calibri" w:hAnsi="Calibri"/>
          <w:b w:val="0"/>
          <w:i/>
          <w:sz w:val="20"/>
        </w:rPr>
        <w:t xml:space="preserve"> A single workstation GPU is sufficient... No supercomputer allocation is required."</w:t>
      </w:r>
    </w:p>
    <w:p>
      <w:pPr>
        <w:spacing w:after="120"/>
      </w:pPr>
      <w:r>
        <w:rPr>
          <w:rFonts w:ascii="Calibri" w:hAnsi="Calibri"/>
          <w:b/>
          <w:i w:val="0"/>
        </w:rPr>
        <w:t>Why:</w:t>
      </w:r>
      <w:r>
        <w:rPr>
          <w:rFonts w:ascii="Calibri" w:hAnsi="Calibri"/>
          <w:b w:val="0"/>
          <w:i w:val="0"/>
        </w:rPr>
        <w:t xml:space="preserve"> removes an entire category of reviewer doubt (infrastructure risk) in three sentences. Modest needs also signal that the budget will be spent on the student, not on hardware.</w:t>
      </w:r>
    </w:p>
    <w:p>
      <w:pPr>
        <w:spacing w:after="160"/>
        <w:ind w:left="360"/>
      </w:pPr>
      <w:r>
        <w:rPr>
          <w:rFonts w:ascii="Calibri" w:hAnsi="Calibri"/>
          <w:b w:val="0"/>
          <w:i/>
          <w:sz w:val="20"/>
        </w:rPr>
        <w:t>"</w:t>
      </w:r>
      <w:r>
        <w:rPr>
          <w:rFonts w:ascii="Calibri" w:hAnsi="Calibri"/>
          <w:b w:val="0"/>
          <w:i/>
          <w:sz w:val="20"/>
        </w:rPr>
        <w:t>Skills and mentoring.</w:t>
      </w:r>
      <w:r>
        <w:rPr>
          <w:rFonts w:ascii="Calibri" w:hAnsi="Calibri"/>
          <w:b w:val="0"/>
          <w:i/>
          <w:sz w:val="20"/>
        </w:rPr>
        <w:t xml:space="preserve"> The FI... is new to Antarctic hydrology and to hierarchical statistical modeling — a genuine gap, stated as one."</w:t>
      </w:r>
    </w:p>
    <w:p>
      <w:pPr>
        <w:spacing w:after="120"/>
      </w:pPr>
      <w:r>
        <w:rPr>
          <w:rFonts w:ascii="Calibri" w:hAnsi="Calibri"/>
          <w:b/>
          <w:i w:val="0"/>
        </w:rPr>
        <w:t>Why:</w:t>
      </w:r>
      <w:r>
        <w:rPr>
          <w:rFonts w:ascii="Calibri" w:hAnsi="Calibri"/>
          <w:b w:val="0"/>
          <w:i w:val="0"/>
        </w:rPr>
        <w:t xml:space="preserve"> FINESST's third scored criterion is Research Readiness, and its purpose is training. A proposal with no gaps reads as either dishonest or as not needing the fellowship. Naming the two real gaps — and pointing to where the closing plan lives (RRS, Mentoring Plan) — turns a weakness into program fit. </w:t>
      </w:r>
      <w:r>
        <w:rPr>
          <w:rFonts w:ascii="Calibri" w:hAnsi="Calibri"/>
          <w:b/>
          <w:i w:val="0"/>
        </w:rPr>
        <w:t>How:</w:t>
      </w:r>
      <w:r>
        <w:rPr>
          <w:rFonts w:ascii="Calibri" w:hAnsi="Calibri"/>
          <w:b w:val="0"/>
          <w:i w:val="0"/>
        </w:rPr>
        <w:t xml:space="preserve"> the gaps chosen are real but bounded: both are closable by coursework and advisor mentorship, neither blocks Year-1 work (which is pipeline construction, the FI's demonstrated strength).</w:t>
      </w:r>
    </w:p>
    <w:p>
      <w:pPr>
        <w:spacing w:after="160"/>
        <w:ind w:left="360"/>
      </w:pPr>
      <w:r>
        <w:rPr>
          <w:rFonts w:ascii="Calibri" w:hAnsi="Calibri"/>
          <w:b w:val="0"/>
          <w:i/>
          <w:sz w:val="20"/>
        </w:rPr>
        <w:t>"</w:t>
      </w:r>
      <w:r>
        <w:rPr>
          <w:rFonts w:ascii="Calibri" w:hAnsi="Calibri"/>
          <w:b w:val="0"/>
          <w:i/>
          <w:sz w:val="20"/>
        </w:rPr>
        <w:t>Community contact.</w:t>
      </w:r>
      <w:r>
        <w:rPr>
          <w:rFonts w:ascii="Calibri" w:hAnsi="Calibri"/>
          <w:b w:val="0"/>
          <w:i/>
          <w:sz w:val="20"/>
        </w:rPr>
        <w:t xml:space="preserve"> The dissertation author has been contacted and is responsive. Continued cooperation is helpful but not load-bearing..."</w:t>
      </w:r>
    </w:p>
    <w:p>
      <w:pPr>
        <w:spacing w:after="120"/>
      </w:pPr>
      <w:r>
        <w:rPr>
          <w:rFonts w:ascii="Calibri" w:hAnsi="Calibri"/>
          <w:b/>
          <w:i w:val="0"/>
        </w:rPr>
        <w:t>Why:</w:t>
      </w:r>
      <w:r>
        <w:rPr>
          <w:rFonts w:ascii="Calibri" w:hAnsi="Calibri"/>
          <w:b w:val="0"/>
          <w:i w:val="0"/>
        </w:rPr>
        <w:t xml:space="preserve"> answers two opposite reviewer worries at once — "do they have access to the prior group?" (yes, contact exists) and "does the plan collapse without that goodwill?" (no, everything runs from public data). </w:t>
      </w:r>
      <w:r>
        <w:rPr>
          <w:rFonts w:ascii="Calibri" w:hAnsi="Calibri"/>
          <w:b/>
          <w:i w:val="0"/>
        </w:rPr>
        <w:t>How:</w:t>
      </w:r>
      <w:r>
        <w:rPr>
          <w:rFonts w:ascii="Calibri" w:hAnsi="Calibri"/>
          <w:b w:val="0"/>
          <w:i w:val="0"/>
        </w:rPr>
        <w:t xml:space="preserve"> "not load-bearing" is the operative phrase; it is verifiable against §4's table, where every required dataset is public.</w:t>
      </w:r>
    </w:p>
    <w:p>
      <w:pPr>
        <w:spacing w:before="140" w:after="60"/>
      </w:pPr>
      <w:r>
        <w:rPr>
          <w:rFonts w:ascii="Calibri" w:hAnsi="Calibri"/>
          <w:b/>
          <w:i w:val="0"/>
          <w:sz w:val="24"/>
        </w:rPr>
        <w:t>§5 Honest assessment</w:t>
      </w:r>
    </w:p>
    <w:p>
      <w:pPr>
        <w:spacing w:after="160"/>
        <w:ind w:left="360"/>
      </w:pPr>
      <w:r>
        <w:rPr>
          <w:rFonts w:ascii="Calibri" w:hAnsi="Calibri"/>
          <w:b w:val="0"/>
          <w:i/>
          <w:sz w:val="20"/>
        </w:rPr>
        <w:t>The section exists at all.</w:t>
      </w:r>
    </w:p>
    <w:p>
      <w:pPr>
        <w:spacing w:after="120"/>
      </w:pPr>
      <w:r>
        <w:rPr>
          <w:rFonts w:ascii="Calibri" w:hAnsi="Calibri"/>
          <w:b/>
          <w:i w:val="0"/>
        </w:rPr>
        <w:t>Why:</w:t>
      </w:r>
      <w:r>
        <w:rPr>
          <w:rFonts w:ascii="Calibri" w:hAnsi="Calibri"/>
          <w:b w:val="0"/>
          <w:i w:val="0"/>
        </w:rPr>
        <w:t xml:space="preserve"> most proposals bury risk in two mitigative sentences. A section titled "Honest assessment" that leads with "What could go wrong, and what happens then" is a credibility play: it does the adversarial review </w:t>
      </w:r>
      <w:r>
        <w:rPr>
          <w:rFonts w:ascii="Calibri" w:hAnsi="Calibri"/>
          <w:b w:val="0"/>
          <w:i/>
        </w:rPr>
        <w:t>for</w:t>
      </w:r>
      <w:r>
        <w:rPr>
          <w:rFonts w:ascii="Calibri" w:hAnsi="Calibri"/>
          <w:b w:val="0"/>
          <w:i w:val="0"/>
        </w:rPr>
        <w:t xml:space="preserve"> the panel, which leaves them less to write and signals the FI can be trusted with three unsupervised years. </w:t>
      </w:r>
      <w:r>
        <w:rPr>
          <w:rFonts w:ascii="Calibri" w:hAnsi="Calibri"/>
          <w:b/>
          <w:i w:val="0"/>
        </w:rPr>
        <w:t>How:</w:t>
      </w:r>
      <w:r>
        <w:rPr>
          <w:rFonts w:ascii="Calibri" w:hAnsi="Calibri"/>
          <w:b w:val="0"/>
          <w:i w:val="0"/>
        </w:rPr>
        <w:t xml:space="preserve"> every risk follows the same grammar — failure mode, consequence, what gets delivered anyway. No risk is listed without a landing zone.</w:t>
      </w:r>
    </w:p>
    <w:p>
      <w:pPr>
        <w:spacing w:after="160"/>
        <w:ind w:left="360"/>
      </w:pPr>
      <w:r>
        <w:rPr>
          <w:rFonts w:ascii="Calibri" w:hAnsi="Calibri"/>
          <w:b w:val="0"/>
          <w:i/>
          <w:sz w:val="20"/>
        </w:rPr>
        <w:t>Risk 1: weak attribution signal → "a rigorous null result with calibrated uncertainty... The risk is to impact, not to feasibility."</w:t>
      </w:r>
    </w:p>
    <w:p>
      <w:pPr>
        <w:spacing w:after="120"/>
      </w:pPr>
      <w:r>
        <w:rPr>
          <w:rFonts w:ascii="Calibri" w:hAnsi="Calibri"/>
          <w:b/>
          <w:i w:val="0"/>
        </w:rPr>
        <w:t>Why/How:</w:t>
      </w:r>
      <w:r>
        <w:rPr>
          <w:rFonts w:ascii="Calibri" w:hAnsi="Calibri"/>
          <w:b w:val="0"/>
          <w:i w:val="0"/>
        </w:rPr>
        <w:t xml:space="preserve"> separates the two things reviewers conflate: whether the project can fail to </w:t>
      </w:r>
      <w:r>
        <w:rPr>
          <w:rFonts w:ascii="Calibri" w:hAnsi="Calibri"/>
          <w:b w:val="0"/>
          <w:i/>
        </w:rPr>
        <w:t>finish</w:t>
      </w:r>
      <w:r>
        <w:rPr>
          <w:rFonts w:ascii="Calibri" w:hAnsi="Calibri"/>
          <w:b w:val="0"/>
          <w:i w:val="0"/>
        </w:rPr>
        <w:t xml:space="preserve"> (it can't — the measurement gets made regardless) versus fail to </w:t>
      </w:r>
      <w:r>
        <w:rPr>
          <w:rFonts w:ascii="Calibri" w:hAnsi="Calibri"/>
          <w:b w:val="0"/>
          <w:i/>
        </w:rPr>
        <w:t>excite</w:t>
      </w:r>
      <w:r>
        <w:rPr>
          <w:rFonts w:ascii="Calibri" w:hAnsi="Calibri"/>
          <w:b w:val="0"/>
          <w:i w:val="0"/>
        </w:rPr>
        <w:t xml:space="preserve"> (possible, admitted). Feasibility risk is the killer in review; impact risk is survivable and honest.</w:t>
      </w:r>
    </w:p>
    <w:p>
      <w:pPr>
        <w:spacing w:after="160"/>
        <w:ind w:left="360"/>
      </w:pPr>
      <w:r>
        <w:rPr>
          <w:rFonts w:ascii="Calibri" w:hAnsi="Calibri"/>
          <w:b w:val="0"/>
          <w:i/>
          <w:sz w:val="20"/>
        </w:rPr>
        <w:t>Risk 2: gauges patchy after 2015 → "...the discharge side of the hypothesis test is weakest in the most recent period, and the proposal accepts that."</w:t>
      </w:r>
    </w:p>
    <w:p>
      <w:pPr>
        <w:spacing w:after="120"/>
      </w:pPr>
      <w:r>
        <w:rPr>
          <w:rFonts w:ascii="Calibri" w:hAnsi="Calibri"/>
          <w:b/>
          <w:i w:val="0"/>
        </w:rPr>
        <w:t>Why/How:</w:t>
      </w:r>
      <w:r>
        <w:rPr>
          <w:rFonts w:ascii="Calibri" w:hAnsi="Calibri"/>
          <w:b w:val="0"/>
          <w:i w:val="0"/>
        </w:rPr>
        <w:t xml:space="preserve"> this risk is also an argument </w:t>
      </w:r>
      <w:r>
        <w:rPr>
          <w:rFonts w:ascii="Calibri" w:hAnsi="Calibri"/>
          <w:b w:val="0"/>
          <w:i/>
        </w:rPr>
        <w:t>for</w:t>
      </w:r>
      <w:r>
        <w:rPr>
          <w:rFonts w:ascii="Calibri" w:hAnsi="Calibri"/>
          <w:b w:val="0"/>
          <w:i w:val="0"/>
        </w:rPr>
        <w:t xml:space="preserve"> the design — modeled melt energy (continuous everywhere) is O1's independent variable precisely because gauges decay. The last clause ("accepts that") is there because pretending reanalysis fully replaces gauges would be overclaiming.</w:t>
      </w:r>
    </w:p>
    <w:p>
      <w:pPr>
        <w:spacing w:after="160"/>
        <w:ind w:left="360"/>
      </w:pPr>
      <w:r>
        <w:rPr>
          <w:rFonts w:ascii="Calibri" w:hAnsi="Calibri"/>
          <w:b w:val="0"/>
          <w:i/>
          <w:sz w:val="20"/>
        </w:rPr>
        <w:t>Risk 3: REMA coverage uneven → anchor on Taylor Valley; scope conclusions.</w:t>
      </w:r>
    </w:p>
    <w:p>
      <w:pPr>
        <w:spacing w:after="120"/>
      </w:pPr>
      <w:r>
        <w:rPr>
          <w:rFonts w:ascii="Calibri" w:hAnsi="Calibri"/>
          <w:b/>
          <w:i w:val="0"/>
        </w:rPr>
        <w:t>Why/How:</w:t>
      </w:r>
      <w:r>
        <w:rPr>
          <w:rFonts w:ascii="Calibri" w:hAnsi="Calibri"/>
          <w:b w:val="0"/>
          <w:i w:val="0"/>
        </w:rPr>
        <w:t xml:space="preserve"> pre-commits the fallback geography so a reviewer can't discover it as a gotcha. Taylor Valley genuinely has the best three-epoch coverage; claims degrade gracefully from "acceleration" (3 epochs) to "change" (2 epochs) elsewhere.</w:t>
      </w:r>
    </w:p>
    <w:p>
      <w:pPr>
        <w:spacing w:after="160"/>
        <w:ind w:left="360"/>
      </w:pPr>
      <w:r>
        <w:rPr>
          <w:rFonts w:ascii="Calibri" w:hAnsi="Calibri"/>
          <w:b w:val="0"/>
          <w:i/>
          <w:sz w:val="20"/>
        </w:rPr>
        <w:t>Risk 4: label request declined → re-digitize.</w:t>
      </w:r>
    </w:p>
    <w:p>
      <w:pPr>
        <w:spacing w:after="120"/>
      </w:pPr>
      <w:r>
        <w:rPr>
          <w:rFonts w:ascii="Calibri" w:hAnsi="Calibri"/>
          <w:b/>
          <w:i w:val="0"/>
        </w:rPr>
        <w:t>Why/How:</w:t>
      </w:r>
      <w:r>
        <w:rPr>
          <w:rFonts w:ascii="Calibri" w:hAnsi="Calibri"/>
          <w:b w:val="0"/>
          <w:i w:val="0"/>
        </w:rPr>
        <w:t xml:space="preserve"> closes the loop opened in §4. Redundant on purpose — risk sections get read in isolation.</w:t>
      </w:r>
    </w:p>
    <w:p>
      <w:pPr>
        <w:spacing w:after="160"/>
        <w:ind w:left="360"/>
      </w:pPr>
      <w:r>
        <w:rPr>
          <w:rFonts w:ascii="Calibri" w:hAnsi="Calibri"/>
          <w:b w:val="0"/>
          <w:i/>
          <w:sz w:val="20"/>
        </w:rPr>
        <w:t>Risk 5: outside-channel change may be too small to detect → "O2 narrows back to in-channel change and the landscape-wide result is reported as a calibrated null — which is itself a quantitative statement about how spatially confined active change currently is."</w:t>
      </w:r>
    </w:p>
    <w:p>
      <w:pPr>
        <w:spacing w:after="120"/>
      </w:pPr>
      <w:r>
        <w:rPr>
          <w:rFonts w:ascii="Calibri" w:hAnsi="Calibri"/>
          <w:b/>
          <w:i w:val="0"/>
        </w:rPr>
        <w:t>Why:</w:t>
      </w:r>
      <w:r>
        <w:rPr>
          <w:rFonts w:ascii="Calibri" w:hAnsi="Calibri"/>
          <w:b w:val="0"/>
          <w:i w:val="0"/>
        </w:rPr>
        <w:t xml:space="preserve"> the newest risk, created by the O2 rescope, and the most important to state: the whole-landscape ambition could genuinely find mostly noise-floor. The mitigation shows the failure mode converts into a </w:t>
      </w:r>
      <w:r>
        <w:rPr>
          <w:rFonts w:ascii="Calibri" w:hAnsi="Calibri"/>
          <w:b w:val="0"/>
          <w:i/>
        </w:rPr>
        <w:t>finding</w:t>
      </w:r>
      <w:r>
        <w:rPr>
          <w:rFonts w:ascii="Calibri" w:hAnsi="Calibri"/>
          <w:b w:val="0"/>
          <w:i w:val="0"/>
        </w:rPr>
        <w:t xml:space="preserve"> — "active change is confined to X% of the surface at our detection limits" is a real, citable number. </w:t>
      </w:r>
      <w:r>
        <w:rPr>
          <w:rFonts w:ascii="Calibri" w:hAnsi="Calibri"/>
          <w:b/>
          <w:i w:val="0"/>
        </w:rPr>
        <w:t>How:</w:t>
      </w:r>
      <w:r>
        <w:rPr>
          <w:rFonts w:ascii="Calibri" w:hAnsi="Calibri"/>
          <w:b w:val="0"/>
          <w:i w:val="0"/>
        </w:rPr>
        <w:t xml:space="preserve"> this only works because of O3 — a calibrated null means something; an uncalibrated null is just a shrug. The risks section quietly demonstrates the objectives' interdependence.</w:t>
      </w:r>
    </w:p>
    <w:p>
      <w:pPr>
        <w:spacing w:after="160"/>
        <w:ind w:left="360"/>
      </w:pPr>
      <w:r>
        <w:rPr>
          <w:rFonts w:ascii="Calibri" w:hAnsi="Calibri"/>
          <w:b w:val="0"/>
          <w:i/>
          <w:sz w:val="20"/>
        </w:rPr>
        <w:t>"</w:t>
      </w:r>
      <w:r>
        <w:rPr>
          <w:rFonts w:ascii="Calibri" w:hAnsi="Calibri"/>
          <w:b w:val="0"/>
          <w:i/>
          <w:sz w:val="20"/>
        </w:rPr>
        <w:t>What this proposal does not claim.</w:t>
      </w:r>
      <w:r>
        <w:rPr>
          <w:rFonts w:ascii="Calibri" w:hAnsi="Calibri"/>
          <w:b w:val="0"/>
          <w:i/>
          <w:sz w:val="20"/>
        </w:rPr>
        <w:t>"</w:t>
      </w:r>
    </w:p>
    <w:p>
      <w:pPr>
        <w:spacing w:after="120"/>
      </w:pPr>
      <w:r>
        <w:rPr>
          <w:rFonts w:ascii="Calibri" w:hAnsi="Calibri"/>
          <w:b/>
          <w:i w:val="0"/>
        </w:rPr>
        <w:t>Why:</w:t>
      </w:r>
      <w:r>
        <w:rPr>
          <w:rFonts w:ascii="Calibri" w:hAnsi="Calibri"/>
          <w:b w:val="0"/>
          <w:i w:val="0"/>
        </w:rPr>
        <w:t xml:space="preserve"> the plan-only posture restated as a boundary. It also protects the FI in any later interview — no sentence in the document asserts work performed.</w:t>
      </w:r>
    </w:p>
    <w:p>
      <w:pPr>
        <w:spacing w:after="160"/>
        <w:ind w:left="360"/>
      </w:pPr>
      <w:r>
        <w:rPr>
          <w:rFonts w:ascii="Calibri" w:hAnsi="Calibri"/>
          <w:b w:val="0"/>
          <w:i/>
          <w:sz w:val="20"/>
        </w:rPr>
        <w:t>"</w:t>
      </w:r>
      <w:r>
        <w:rPr>
          <w:rFonts w:ascii="Calibri" w:hAnsi="Calibri"/>
          <w:b w:val="0"/>
          <w:i/>
          <w:sz w:val="20"/>
        </w:rPr>
        <w:t>Why it is worth doing anyway.</w:t>
      </w:r>
      <w:r>
        <w:rPr>
          <w:rFonts w:ascii="Calibri" w:hAnsi="Calibri"/>
          <w:b w:val="0"/>
          <w:i/>
          <w:sz w:val="20"/>
        </w:rPr>
        <w:t>"</w:t>
      </w:r>
    </w:p>
    <w:p>
      <w:pPr>
        <w:spacing w:after="120"/>
      </w:pPr>
      <w:r>
        <w:rPr>
          <w:rFonts w:ascii="Calibri" w:hAnsi="Calibri"/>
          <w:b/>
          <w:i w:val="0"/>
        </w:rPr>
        <w:t>Why:</w:t>
      </w:r>
      <w:r>
        <w:rPr>
          <w:rFonts w:ascii="Calibri" w:hAnsi="Calibri"/>
          <w:b w:val="0"/>
          <w:i w:val="0"/>
        </w:rPr>
        <w:t xml:space="preserve"> an honest-assessment section that ends on risk would leave the reviewer in a down-beat. This paragraph is the recovery: the data exist, are free, and the missing ingredients (drivers, whole-landscape picture, error bars) are "exactly the size of a three-year graduate project" — which reframes the fellowship as the natural container for the work.</w:t>
      </w:r>
    </w:p>
    <w:p>
      <w:pPr>
        <w:spacing w:before="140" w:after="60"/>
      </w:pPr>
      <w:r>
        <w:rPr>
          <w:rFonts w:ascii="Calibri" w:hAnsi="Calibri"/>
          <w:b/>
          <w:i w:val="0"/>
          <w:sz w:val="24"/>
        </w:rPr>
        <w:t>§6 Timeline</w:t>
      </w:r>
    </w:p>
    <w:p>
      <w:pPr>
        <w:spacing w:after="120"/>
      </w:pPr>
      <w:r>
        <w:rPr>
          <w:rFonts w:ascii="Calibri" w:hAnsi="Calibri"/>
          <w:b/>
          <w:i w:val="0"/>
        </w:rPr>
        <w:t>Why the shape:</w:t>
      </w:r>
      <w:r>
        <w:rPr>
          <w:rFonts w:ascii="Calibri" w:hAnsi="Calibri"/>
          <w:b w:val="0"/>
          <w:i w:val="0"/>
        </w:rPr>
        <w:t xml:space="preserve"> Year 1 = build + first science (attribution on Taylor Valley); Year 2 = the new-scope science (landscape-wide classification), </w:t>
      </w:r>
      <w:r>
        <w:rPr>
          <w:rFonts w:ascii="Calibri" w:hAnsi="Calibri"/>
          <w:b w:val="0"/>
          <w:i/>
        </w:rPr>
        <w:t>after</w:t>
      </w:r>
      <w:r>
        <w:rPr>
          <w:rFonts w:ascii="Calibri" w:hAnsi="Calibri"/>
          <w:b w:val="0"/>
          <w:i w:val="0"/>
        </w:rPr>
        <w:t xml:space="preserve"> O3 exists to gate it; Year 3 = synthesis, prediction, and product release. Each year ends in a named deliverable because reviewers check whether a timeline produces papers or just activity. </w:t>
      </w:r>
      <w:r>
        <w:rPr>
          <w:rFonts w:ascii="Calibri" w:hAnsi="Calibri"/>
          <w:b/>
          <w:i w:val="0"/>
        </w:rPr>
        <w:t>How:</w:t>
      </w:r>
      <w:r>
        <w:rPr>
          <w:rFonts w:ascii="Calibri" w:hAnsi="Calibri"/>
          <w:b w:val="0"/>
          <w:i w:val="0"/>
        </w:rPr>
        <w:t xml:space="preserve"> the dependencies run downhill — nothing in Year 2 needs anything that isn't a Year-1 deliverable. "Secure or rebuild training labels" sits in Year 1 because it's the longest-lead external dependency.</w:t>
      </w:r>
    </w:p>
    <w:p>
      <w:pPr>
        <w:spacing w:before="140" w:after="60"/>
      </w:pPr>
      <w:r>
        <w:rPr>
          <w:rFonts w:ascii="Calibri" w:hAnsi="Calibri"/>
          <w:b/>
          <w:i w:val="0"/>
          <w:sz w:val="24"/>
        </w:rPr>
        <w:t>§7 Data management and open science</w:t>
      </w:r>
    </w:p>
    <w:p>
      <w:pPr>
        <w:spacing w:after="120"/>
      </w:pPr>
      <w:r>
        <w:rPr>
          <w:rFonts w:ascii="Calibri" w:hAnsi="Calibri"/>
          <w:b/>
          <w:i w:val="0"/>
        </w:rPr>
        <w:t>Why:</w:t>
      </w:r>
      <w:r>
        <w:rPr>
          <w:rFonts w:ascii="Calibri" w:hAnsi="Calibri"/>
          <w:b w:val="0"/>
          <w:i w:val="0"/>
        </w:rPr>
        <w:t xml:space="preserve"> a compressed echo of the separate 2-page OSDMP (which is the binding document). It exists in the S/T/M so the open-science posture is visible even to a reviewer who reads nothing but the six pages. </w:t>
      </w:r>
      <w:r>
        <w:rPr>
          <w:rFonts w:ascii="Calibri" w:hAnsi="Calibri"/>
          <w:b/>
          <w:i w:val="0"/>
        </w:rPr>
        <w:t>How:</w:t>
      </w:r>
      <w:r>
        <w:rPr>
          <w:rFonts w:ascii="Calibri" w:hAnsi="Calibri"/>
          <w:b w:val="0"/>
          <w:i w:val="0"/>
        </w:rPr>
        <w:t xml:space="preserve"> the sentence structure mirrors NASA's expectations: what is produced, where it is released, what is deliberately not archived (heavy regenerable rasters), and what metadata every product carries.</w:t>
      </w:r>
    </w:p>
    <w:p>
      <w:pPr>
        <w:spacing w:before="140" w:after="60"/>
      </w:pPr>
      <w:r>
        <w:rPr>
          <w:rFonts w:ascii="Calibri" w:hAnsi="Calibri"/>
          <w:b/>
          <w:i w:val="0"/>
          <w:sz w:val="24"/>
        </w:rPr>
        <w:t>References</w:t>
      </w:r>
    </w:p>
    <w:p>
      <w:pPr>
        <w:spacing w:after="120"/>
      </w:pPr>
      <w:r>
        <w:rPr>
          <w:rFonts w:ascii="Calibri" w:hAnsi="Calibri"/>
          <w:b/>
          <w:i w:val="0"/>
        </w:rPr>
        <w:t>Why these seven:</w:t>
      </w:r>
      <w:r>
        <w:rPr>
          <w:rFonts w:ascii="Calibri" w:hAnsi="Calibri"/>
          <w:b w:val="0"/>
          <w:i w:val="0"/>
        </w:rPr>
        <w:t xml:space="preserve"> [1] the dissertation (the foundation — citing it generously is both honest and strategic); [2] the peer-reviewed proof of concept (shows the foundation survived review, not just a committee); [3] Höhle &amp; Höhle (the NMAD methodology the error handling rests on); [4] REMA (the dataset the future of the record depends on); [5] U-Net (the architecture's origin); [6] the LTER data catalog (the driver data's provenance); [7] ERA5 (the reanalysis gap-filler). Every reference is load-bearing — each one backs a specific claim in §1–§3, and nothing is cited for decoration.</w:t>
      </w:r>
    </w:p>
    <w:p>
      <w:pPr>
        <w:pBdr>
          <w:bottom w:val="single" w:sz="6" w:space="1" w:color="BBBBBB"/>
        </w:pBdr>
      </w:pPr>
    </w:p>
    <w:p>
      <w:pPr>
        <w:spacing w:after="120"/>
      </w:pPr>
      <w:r>
        <w:rPr>
          <w:rFonts w:ascii="Calibri" w:hAnsi="Calibri"/>
          <w:b w:val="0"/>
          <w:i/>
        </w:rPr>
        <w:t>Maintained alongside `finesst_proposal_basic.md` — when a proposal line changes, its entry here changes in the same pass.</w:t>
      </w:r>
    </w:p>
    <w:sectPr w:rsidR="00FC693F" w:rsidRPr="0006063C" w:rsidSect="00034616">
      <w:footerReference w:type="default" r:id="rId9"/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666666"/>
        <w:sz w:val="16"/>
      </w:rPr>
      <w:t>Basic Proposal — Line-by-Line Rationale</w:t>
      <w:tab/>
      <w:tab/>
    </w:r>
    <w:fldSimple w:instr="PAGE"/>
    <w:r>
      <w:rPr>
        <w:color w:val="666666"/>
        <w:sz w:val="16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