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Antarctic Stream-Channel Change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What is changing geomorphologically </w:t>
      </w:r>
      <w:r>
        <w:rPr>
          <w:rFonts w:ascii="Calibri" w:hAnsi="Calibri"/>
          <w:b w:val="0"/>
          <w:i/>
          <w:sz w:val="20"/>
        </w:rPr>
        <w:t>outside</w:t>
      </w:r>
      <w:r>
        <w:rPr>
          <w:rFonts w:ascii="Calibri" w:hAnsi="Calibri"/>
          <w:b w:val="0"/>
          <w:i w:val="0"/>
          <w:sz w:val="20"/>
        </w:rPr>
        <w:t xml:space="preserve"> the channels — across the whole valley floor — and do different kinds of change answer to different drivers? </w:t>
      </w:r>
      <w:r>
        <w:rPr>
          <w:rFonts w:ascii="Calibri" w:hAnsi="Calibri"/>
          <w:b w:val="0"/>
          <w:i w:val="0"/>
          <w:sz w:val="20"/>
        </w:rPr>
        <w:t>(O3)</w:t>
      </w:r>
      <w:r>
        <w:rPr>
          <w:rFonts w:ascii="Calibri" w:hAnsi="Calibri"/>
          <w:b w:val="0"/>
          <w:i w:val="0"/>
          <w:sz w:val="20"/>
        </w:rPr>
        <w:t xml:space="preserve"> Can every change map carry an honest, per-pixel error bar?</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free REMA satellite DEMs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 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and at the channel edge. It maps </w:t>
      </w:r>
      <w:r>
        <w:rPr>
          <w:rFonts w:ascii="Calibri" w:hAnsi="Calibri"/>
          <w:b w:val="0"/>
          <w:i w:val="0"/>
        </w:rPr>
        <w:t>where</w:t>
      </w:r>
      <w:r>
        <w:rPr>
          <w:rFonts w:ascii="Calibri" w:hAnsi="Calibri"/>
          <w:b w:val="0"/>
          <w:i w:val="0"/>
        </w:rPr>
        <w:t xml:space="preserve"> in-channel change is happening (Denton Hills is the erosion hotspot; parts of Taylor Valley are accelerating), but it explicitly defers </w:t>
      </w:r>
      <w:r>
        <w:rPr>
          <w:rFonts w:ascii="Calibri" w:hAnsi="Calibri"/>
          <w:b w:val="0"/>
          <w:i w:val="0"/>
        </w:rPr>
        <w:t>coupling that change to physical/climate drivers</w:t>
      </w:r>
      <w:r>
        <w:rPr>
          <w:rFonts w:ascii="Calibri" w:hAnsi="Calibri"/>
          <w:b w:val="0"/>
          <w:i w:val="0"/>
        </w:rPr>
        <w:t xml:space="preserve"> to future work — and its change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is discarded unexamined. A Future Investigator project lives precisely in that gap: explain the change, and stop throwing most of the measurement away. This is a genuine scientific increment, not a replication.</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Earth's largest ice-free Antarctic region, serving the Earth Science Division's cryosphere and Earth-surface-change focus areas. The methodological deliverables generalize: terrain-only feature detection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Landscape-wide geomorphic change.</w:t>
            </w:r>
            <w:r>
              <w:rPr>
                <w:rFonts w:ascii="Calibri" w:hAnsi="Calibri"/>
                <w:b w:val="0"/>
                <w:i w:val="0"/>
                <w:sz w:val="18"/>
              </w:rPr>
              <w:t xml:space="preserve"> Extend change detection from the channel masks to the full valley-floor surface; classify significant change by process type — channel migration, thaw-driven subsidence (</w:t>
            </w:r>
            <w:r>
              <w:rPr>
                <w:rFonts w:ascii="Calibri" w:hAnsi="Calibri"/>
                <w:b w:val="0"/>
                <w:i w:val="0"/>
                <w:sz w:val="18"/>
              </w:rPr>
              <w:t>thermokarst</w:t>
            </w:r>
            <w:r>
              <w:rPr>
                <w:rFonts w:ascii="Calibri" w:hAnsi="Calibri"/>
                <w:b w:val="0"/>
                <w:i w:val="0"/>
                <w:sz w:val="18"/>
              </w:rPr>
              <w:t>), slope movement, fan/delta growth, lake-margin shift; attribute each type to its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process types answer to different drivers — channel change tracks melt energy and discharge, while thermokarst tracks summer thaw depth. Each type should carry a distinct driver fingerprint.</w:t>
            </w:r>
          </w:p>
        </w:tc>
        <w:tc>
          <w:tcPr>
            <w:tcW w:type="dxa" w:w="2412"/>
          </w:tcPr>
          <w:p>
            <w:pPr>
              <w:spacing w:after="20"/>
            </w:pPr>
            <w:r/>
            <w:r>
              <w:rPr>
                <w:rFonts w:ascii="Calibri" w:hAnsi="Calibri"/>
                <w:b w:val="0"/>
                <w:i w:val="0"/>
                <w:sz w:val="18"/>
              </w:rPr>
              <w:t>Barlow's change analysis is confined to the detected channel outlines; the rest of the DoD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§5).</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 meteorology, 21 stream-discharge gauges, mass balance for 7 glaciers, and soil temperature/moisture (a proxy for summer thaw depth) — with the ERA5 and AMPS weather models filling the gaps between stations. Training labels: the public MCM-LTER stream centerlines, standing in for Barlow's access-gated 217 hand-digitized tiles (§6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Landscape-wide change.</w:t>
      </w:r>
      <w:r>
        <w:rPr>
          <w:rFonts w:ascii="Calibri" w:hAnsi="Calibri"/>
          <w:b w:val="0"/>
          <w:i w:val="0"/>
        </w:rPr>
        <w:t xml:space="preserve"> The DoD already measures the entire surface; the channel mask simply discards most of it. The work will apply the O3 per-pixel thresholds to the full valley floor, extract coherent patches of significant change, and classify them by process type from their morphology and setting (slope position, proximity to channels and lakes, ice-cored terrain). Each type's rates then enter the O1 driver models separately, testing H2's prediction of distinct driver fingerprints. The FI's prior work classifying terrain-disturbance features by type on a completely different landscape (§4) shows this move is in hand.</w:t>
      </w:r>
    </w:p>
    <w:p>
      <w:pPr>
        <w:spacing w:after="120"/>
      </w:pPr>
      <w:r>
        <w:rPr>
          <w:rFonts w:ascii="Calibri" w:hAnsi="Calibri"/>
          <w:b w:val="0"/>
          <w:i w:val="0"/>
        </w:rPr>
        <w:t>Sensor continuity (supporting method, not an objective).</w:t>
      </w:r>
      <w:r>
        <w:rPr>
          <w:rFonts w:ascii="Calibri" w:hAnsi="Calibri"/>
          <w:b w:val="0"/>
          <w:i w:val="0"/>
        </w:rPr>
        <w:t xml:space="preserve"> The record continues past the last lidar flight (2014) only on REMA, and satellite elevations disagree with lidar in terrain-dependent ways (a </w:t>
      </w:r>
      <w:r>
        <w:rPr>
          <w:rFonts w:ascii="Calibri" w:hAnsi="Calibri"/>
          <w:b w:val="0"/>
          <w:i w:val="0"/>
        </w:rPr>
        <w:t>domain shift</w:t>
      </w:r>
      <w:r>
        <w:rPr>
          <w:rFonts w:ascii="Calibri" w:hAnsi="Calibri"/>
          <w:b w:val="0"/>
          <w:i w:val="0"/>
        </w:rPr>
        <w:t>). The work will measure that disagreement over unchanged ground as a function of slope and aspect and correct it before any cross-sensor differencing — a prerequisite for O1–O3. Extension beyond Taylor Valley proceeds where REMA quality supports it.</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that classifying terrain disturbance by process type (the core move of </w:t>
      </w:r>
      <w:r>
        <w:rPr>
          <w:rFonts w:ascii="Calibri" w:hAnsi="Calibri"/>
          <w:b w:val="0"/>
          <w:i w:val="0"/>
        </w:rPr>
        <w:t>O2</w:t>
      </w:r>
      <w:r>
        <w:rPr>
          <w:rFonts w:ascii="Calibri" w:hAnsi="Calibri"/>
          <w:b w:val="0"/>
          <w:i w:val="0"/>
        </w:rPr>
        <w:t>) is demonstrated, and that the FI commands the full pipeline end to end.</w:t>
      </w:r>
    </w:p>
    <w:p>
      <w:pPr>
        <w:pBdr>
          <w:bottom w:val="single" w:sz="6" w:space="1" w:color="BBBBBB"/>
        </w:pBdr>
      </w:pPr>
    </w:p>
    <w:p>
      <w:pPr>
        <w:spacing w:before="140" w:after="60"/>
      </w:pPr>
      <w:r>
        <w:rPr>
          <w:rFonts w:ascii="Calibri" w:hAnsi="Calibri"/>
          <w:b/>
          <w:i w:val="0"/>
          <w:sz w:val="24"/>
        </w:rPr>
        <w:t>5.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so data availability poses no schedule risk. The single access-gated dependency is Barlow's training labels (mitigated below and in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Availability</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(sensor-continuity correction, §3)</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computed from the DEMs</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 label stand-in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§6)</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Extension beyond Taylor Valley where coverage allows</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6.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Change-detection chain built from public data; lidar–REMA disagreement measured and corrected; full driver harmonization (PDD/insolation/active-layer series per gauged stream); O1 attribution model on Taylor Valley;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Landscape-wide change detection + process-type classification on Taylor Valley (O2), gated by the O3 thresholds; per-type driver attribution;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extension beyond Taylor Valley where REMA supports it;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the public LTER centerlines serve as a stand-in;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 (4) </w:t>
      </w:r>
      <w:r>
        <w:rPr>
          <w:rFonts w:ascii="Calibri" w:hAnsi="Calibri"/>
          <w:b w:val="0"/>
          <w:i/>
        </w:rPr>
        <w:t>Outside the channels, change may sit below the detection threshold</w:t>
      </w:r>
      <w:r>
        <w:rPr>
          <w:rFonts w:ascii="Calibri" w:hAnsi="Calibri"/>
          <w:b w:val="0"/>
          <w:i w:val="0"/>
        </w:rPr>
        <w:t xml:space="preserve"> → then O2 narrows back to in-channel change and the landscape-wide result is reported as a calibrated null — itself a quantitative statement about how spatially confined active change currently is.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process-classified change maps,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Antarctic Stream-Channel Change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