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FINESST Ancillary Documents — Drafts</w:t>
      </w:r>
    </w:p>
    <w:p>
      <w:pPr>
        <w:spacing w:after="120"/>
      </w:pPr>
      <w:r>
        <w:rPr>
          <w:rFonts w:ascii="Calibri" w:hAnsi="Calibri"/>
          <w:b w:val="0"/>
          <w:i/>
        </w:rPr>
        <w:t>Three short required package items in one working file: split into separate PDFs at submission time per the solicitation's upload structure. [Brackets] = facts to confirm.</w:t>
      </w:r>
    </w:p>
    <w:p>
      <w:pPr>
        <w:pBdr>
          <w:bottom w:val="single" w:sz="6" w:space="1" w:color="BBBBBB"/>
        </w:pBdr>
      </w:pPr>
    </w:p>
    <w:p>
      <w:pPr>
        <w:spacing w:before="140" w:after="60"/>
      </w:pPr>
      <w:r>
        <w:rPr>
          <w:rFonts w:ascii="Calibri" w:hAnsi="Calibri"/>
          <w:b/>
          <w:i w:val="0"/>
          <w:sz w:val="24"/>
        </w:rPr>
        <w:t>A. Facilities, Equipment, and Resources Statement</w:t>
      </w:r>
    </w:p>
    <w:p>
      <w:pPr>
        <w:spacing w:after="120"/>
      </w:pPr>
      <w:r>
        <w:rPr>
          <w:rFonts w:ascii="Calibri" w:hAnsi="Calibri"/>
          <w:b w:val="0"/>
          <w:i w:val="0"/>
        </w:rPr>
        <w:t>The proposed work requires modest, already-available resources; no facility development or shared-instrument time is needed. The proposing team has regular access to all resources below, so no resource-support letter is required.</w:t>
      </w:r>
    </w:p>
    <w:p>
      <w:pPr>
        <w:spacing w:after="120"/>
      </w:pPr>
      <w:r>
        <w:rPr>
          <w:rFonts w:ascii="Calibri" w:hAnsi="Calibri"/>
          <w:b w:val="0"/>
          <w:i w:val="0"/>
        </w:rPr>
        <w:t>Computing.</w:t>
      </w:r>
      <w:r>
        <w:rPr>
          <w:rFonts w:ascii="Calibri" w:hAnsi="Calibri"/>
          <w:b w:val="0"/>
          <w:i w:val="0"/>
        </w:rPr>
        <w:t xml:space="preserve"> A workstation with a single consumer GPU ([model], [VRAM] GB) and [N] TB of local storage, owned by [the research group / the FI], is sufficient for all model training and elevation processing in the proposal. The institution provides [institutional HPC name, if any] as surplus capacity; the project does not depend on it.</w:t>
      </w:r>
    </w:p>
    <w:p>
      <w:pPr>
        <w:spacing w:after="120"/>
      </w:pPr>
      <w:r>
        <w:rPr>
          <w:rFonts w:ascii="Calibri" w:hAnsi="Calibri"/>
          <w:b w:val="0"/>
          <w:i w:val="0"/>
        </w:rPr>
        <w:t>Workspace.</w:t>
      </w:r>
      <w:r>
        <w:rPr>
          <w:rFonts w:ascii="Calibri" w:hAnsi="Calibri"/>
          <w:b w:val="0"/>
          <w:i w:val="0"/>
        </w:rPr>
        <w:t xml:space="preserve"> The FI has [office/lab space] in [department], with institutional backup storage for working data.</w:t>
      </w:r>
    </w:p>
    <w:p>
      <w:pPr>
        <w:spacing w:after="120"/>
      </w:pPr>
      <w:r>
        <w:rPr>
          <w:rFonts w:ascii="Calibri" w:hAnsi="Calibri"/>
          <w:b w:val="0"/>
          <w:i w:val="0"/>
        </w:rPr>
        <w:t>Software.</w:t>
      </w:r>
      <w:r>
        <w:rPr>
          <w:rFonts w:ascii="Calibri" w:hAnsi="Calibri"/>
          <w:b w:val="0"/>
          <w:i w:val="0"/>
        </w:rPr>
        <w:t xml:space="preserve"> The full processing stack is open source (Python scientific stack, PDAL, GDAL/OGR, WhiteboxTools, PyTorch, QGIS). No commercial licenses are required.</w:t>
      </w:r>
    </w:p>
    <w:p>
      <w:pPr>
        <w:spacing w:after="120"/>
      </w:pPr>
      <w:r>
        <w:rPr>
          <w:rFonts w:ascii="Calibri" w:hAnsi="Calibri"/>
          <w:b w:val="0"/>
          <w:i w:val="0"/>
        </w:rPr>
        <w:t>Field work.</w:t>
      </w:r>
      <w:r>
        <w:rPr>
          <w:rFonts w:ascii="Calibri" w:hAnsi="Calibri"/>
          <w:b w:val="0"/>
          <w:i w:val="0"/>
        </w:rPr>
        <w:t xml:space="preserve"> None proposed. The project is entirely archival-data-based; no Antarctic deployment, logistics support, or permitting is required.</w:t>
      </w:r>
    </w:p>
    <w:p>
      <w:pPr>
        <w:pBdr>
          <w:bottom w:val="single" w:sz="6" w:space="1" w:color="BBBBBB"/>
        </w:pBdr>
      </w:pPr>
    </w:p>
    <w:p>
      <w:pPr>
        <w:spacing w:before="140" w:after="60"/>
      </w:pPr>
      <w:r>
        <w:rPr>
          <w:rFonts w:ascii="Calibri" w:hAnsi="Calibri"/>
          <w:b/>
          <w:i w:val="0"/>
          <w:sz w:val="24"/>
        </w:rPr>
        <w:t>B. Acknowledgements (150-word limit, with AI disclosure)</w:t>
      </w:r>
    </w:p>
    <w:p>
      <w:pPr>
        <w:spacing w:after="120"/>
      </w:pPr>
      <w:r>
        <w:rPr>
          <w:rFonts w:ascii="Calibri" w:hAnsi="Calibri"/>
          <w:b w:val="0"/>
          <w:i/>
        </w:rPr>
        <w:t>(Required statement identifying the FI as primary author and disclosing all contributions, including AI tools. Count words before submission — target ≤150.)</w:t>
      </w:r>
    </w:p>
    <w:p>
      <w:pPr>
        <w:spacing w:after="120"/>
      </w:pPr>
      <w:r>
        <w:rPr>
          <w:rFonts w:ascii="Calibri" w:hAnsi="Calibri"/>
          <w:b w:val="0"/>
          <w:i w:val="0"/>
        </w:rPr>
        <w:t>Draft:</w:t>
      </w:r>
    </w:p>
    <w:p>
      <w:pPr>
        <w:spacing w:after="160"/>
        <w:ind w:left="360"/>
      </w:pPr>
      <w:r>
        <w:rPr>
          <w:rFonts w:ascii="Calibri" w:hAnsi="Calibri"/>
          <w:b w:val="0"/>
          <w:i w:val="0"/>
          <w:sz w:val="20"/>
        </w:rPr>
        <w:t>The Future Investigator (FI) is the primary author of this proposal. The FI thanks Dr. Craig Glennie for scientific mentorship and guidance in shaping the research, and Cami Barlow, whose dissertation on Antarctic stream-channel detection and geomorphic change analysis provides the foundation this project builds upon. AI assistance (Anthropic's Claude, used as a drafting and editing tool under the FI's direction) contributed to text drafting, document formatting, and data-availability verification; all scientific content, claims, and decisions are the FI's own and were reviewed by the FI. Publicly archived datasets are credited to their providers: NASA ATM (via USGS), NCALM/OpenTopography, the Polar Geospatial Center (REMA), the McMurdo Dry Valleys LTER (via the Environmental Data Initiative), Copernicus/ECMWF (ERA5), and NCAR (AMPS).</w:t>
      </w:r>
    </w:p>
    <w:p>
      <w:pPr>
        <w:spacing w:after="160"/>
        <w:jc w:val="center"/>
      </w:pPr>
      <w:r>
        <w:rPr>
          <w:rFonts w:ascii="Calibri" w:hAnsi="Calibri"/>
          <w:b w:val="0"/>
          <w:i/>
          <w:color w:val="666666"/>
          <w:sz w:val="18"/>
        </w:rPr>
        <w:t>(~115 words — under the 150-word cap. Count again after any edit.)</w:t>
      </w:r>
    </w:p>
    <w:p>
      <w:pPr>
        <w:pBdr>
          <w:bottom w:val="single" w:sz="6" w:space="1" w:color="BBBBBB"/>
        </w:pBdr>
      </w:pPr>
    </w:p>
    <w:p>
      <w:pPr>
        <w:spacing w:before="140" w:after="60"/>
      </w:pPr>
      <w:r>
        <w:rPr>
          <w:rFonts w:ascii="Calibri" w:hAnsi="Calibri"/>
          <w:b/>
          <w:i w:val="0"/>
          <w:sz w:val="24"/>
        </w:rPr>
        <w:t>C. Budget Justification / Narrative skeleton</w:t>
      </w:r>
    </w:p>
    <w:p>
      <w:pPr>
        <w:spacing w:after="120"/>
      </w:pPr>
      <w:r>
        <w:rPr>
          <w:rFonts w:ascii="Calibri" w:hAnsi="Calibri"/>
          <w:b w:val="0"/>
          <w:i/>
        </w:rPr>
        <w:t>(FINESST is capped at $50,000/year total (all costs combined), up to 3 years. No PI salary. Amounts below are the FI's known costs plus standard estimates; confirm rates and F&amp;A treatment with the institution's research office.)</w:t>
      </w:r>
    </w:p>
    <w:p>
      <w:pPr>
        <w:spacing w:after="120"/>
      </w:pPr>
      <w:r>
        <w:rPr>
          <w:rFonts w:ascii="Calibri" w:hAnsi="Calibri"/>
          <w:b w:val="0"/>
          <w:i w:val="0"/>
        </w:rPr>
        <w:t>Year 1</w:t>
      </w:r>
      <w:r>
        <w:rPr>
          <w:rFonts w:ascii="Calibri" w:hAnsi="Calibri"/>
          <w:b w:val="0"/>
          <w:i w:val="0"/>
        </w:rPr>
        <w:t xml:space="preserve"> (Years 2–3 mirror this with standard escalation):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val="clear" w:fill="E8E8E8"/>
          </w:tcPr>
          <w:p>
            <w:pPr>
              <w:spacing w:after="20"/>
            </w:pPr>
            <w:r>
              <w:rPr>
                <w:b/>
              </w:rPr>
            </w:r>
            <w:r>
              <w:rPr>
                <w:rFonts w:ascii="Calibri" w:hAnsi="Calibri"/>
                <w:b/>
                <w:i w:val="0"/>
                <w:sz w:val="18"/>
              </w:rPr>
              <w:t>Item</w:t>
            </w:r>
          </w:p>
        </w:tc>
        <w:tc>
          <w:tcPr>
            <w:tcW w:type="dxa" w:w="3120"/>
            <w:shd w:val="clear" w:fill="E8E8E8"/>
          </w:tcPr>
          <w:p>
            <w:pPr>
              <w:spacing w:after="20"/>
            </w:pPr>
            <w:r>
              <w:rPr>
                <w:b/>
              </w:rPr>
            </w:r>
            <w:r>
              <w:rPr>
                <w:rFonts w:ascii="Calibri" w:hAnsi="Calibri"/>
                <w:b/>
                <w:i w:val="0"/>
                <w:sz w:val="18"/>
              </w:rPr>
              <w:t>Amount</w:t>
            </w:r>
          </w:p>
        </w:tc>
        <w:tc>
          <w:tcPr>
            <w:tcW w:type="dxa" w:w="3120"/>
            <w:shd w:val="clear" w:fill="E8E8E8"/>
          </w:tcPr>
          <w:p>
            <w:pPr>
              <w:spacing w:after="20"/>
            </w:pPr>
            <w:r>
              <w:rPr>
                <w:b/>
              </w:rPr>
            </w:r>
            <w:r>
              <w:rPr>
                <w:rFonts w:ascii="Calibri" w:hAnsi="Calibri"/>
                <w:b/>
                <w:i w:val="0"/>
                <w:sz w:val="18"/>
              </w:rPr>
              <w:t>Justification</w:t>
            </w:r>
          </w:p>
        </w:tc>
      </w:tr>
      <w:tr>
        <w:tc>
          <w:tcPr>
            <w:tcW w:type="dxa" w:w="3120"/>
          </w:tcPr>
          <w:p>
            <w:pPr>
              <w:spacing w:after="20"/>
            </w:pPr>
            <w:r/>
            <w:r>
              <w:rPr>
                <w:rFonts w:ascii="Calibri" w:hAnsi="Calibri"/>
                <w:b w:val="0"/>
                <w:i w:val="0"/>
                <w:sz w:val="18"/>
              </w:rPr>
              <w:t>FI stipend</w:t>
            </w:r>
          </w:p>
        </w:tc>
        <w:tc>
          <w:tcPr>
            <w:tcW w:type="dxa" w:w="3120"/>
          </w:tcPr>
          <w:p>
            <w:pPr>
              <w:spacing w:after="20"/>
            </w:pPr>
            <w:r/>
            <w:r>
              <w:rPr>
                <w:rFonts w:ascii="Calibri" w:hAnsi="Calibri"/>
                <w:b w:val="0"/>
                <w:i w:val="0"/>
                <w:sz w:val="18"/>
              </w:rPr>
              <w:t>$31,220</w:t>
            </w:r>
          </w:p>
        </w:tc>
        <w:tc>
          <w:tcPr>
            <w:tcW w:type="dxa" w:w="3120"/>
          </w:tcPr>
          <w:p>
            <w:pPr>
              <w:spacing w:after="20"/>
            </w:pPr>
            <w:r/>
            <w:r>
              <w:rPr>
                <w:rFonts w:ascii="Calibri" w:hAnsi="Calibri"/>
                <w:b w:val="0"/>
                <w:i w:val="0"/>
                <w:sz w:val="18"/>
              </w:rPr>
              <w:t>12-month graduate research assistantship at $2,601.67/month; the FI performs all proposed research</w:t>
            </w:r>
          </w:p>
        </w:tc>
      </w:tr>
      <w:tr>
        <w:tc>
          <w:tcPr>
            <w:tcW w:type="dxa" w:w="3120"/>
          </w:tcPr>
          <w:p>
            <w:pPr>
              <w:spacing w:after="20"/>
            </w:pPr>
            <w:r/>
            <w:r>
              <w:rPr>
                <w:rFonts w:ascii="Calibri" w:hAnsi="Calibri"/>
                <w:b w:val="0"/>
                <w:i w:val="0"/>
                <w:sz w:val="18"/>
              </w:rPr>
              <w:t>Tuition &amp; fees</w:t>
            </w:r>
          </w:p>
        </w:tc>
        <w:tc>
          <w:tcPr>
            <w:tcW w:type="dxa" w:w="3120"/>
          </w:tcPr>
          <w:p>
            <w:pPr>
              <w:spacing w:after="20"/>
            </w:pPr>
            <w:r/>
            <w:r>
              <w:rPr>
                <w:rFonts w:ascii="Calibri" w:hAnsi="Calibri"/>
                <w:b w:val="0"/>
                <w:i w:val="0"/>
                <w:sz w:val="18"/>
              </w:rPr>
              <w:t>$7,704 + fees [confirm]</w:t>
            </w:r>
          </w:p>
        </w:tc>
        <w:tc>
          <w:tcPr>
            <w:tcW w:type="dxa" w:w="3120"/>
          </w:tcPr>
          <w:p>
            <w:pPr>
              <w:spacing w:after="20"/>
            </w:pPr>
            <w:r/>
            <w:r>
              <w:rPr>
                <w:rFonts w:ascii="Calibri" w:hAnsi="Calibri"/>
                <w:b w:val="0"/>
                <w:i w:val="0"/>
                <w:sz w:val="18"/>
              </w:rPr>
              <w:t>Consolidated tuition, 2 semesters × $3,852 (TX-resident Engineering-PhD rate, 9 SCH, AY2027); add mandatory fees</w:t>
            </w:r>
          </w:p>
        </w:tc>
      </w:tr>
      <w:tr>
        <w:tc>
          <w:tcPr>
            <w:tcW w:type="dxa" w:w="3120"/>
          </w:tcPr>
          <w:p>
            <w:pPr>
              <w:spacing w:after="20"/>
            </w:pPr>
            <w:r/>
            <w:r>
              <w:rPr>
                <w:rFonts w:ascii="Calibri" w:hAnsi="Calibri"/>
                <w:b w:val="0"/>
                <w:i w:val="0"/>
                <w:sz w:val="18"/>
              </w:rPr>
              <w:t>Conference travel</w:t>
            </w:r>
          </w:p>
        </w:tc>
        <w:tc>
          <w:tcPr>
            <w:tcW w:type="dxa" w:w="3120"/>
          </w:tcPr>
          <w:p>
            <w:pPr>
              <w:spacing w:after="20"/>
            </w:pPr>
            <w:r/>
            <w:r>
              <w:rPr>
                <w:rFonts w:ascii="Calibri" w:hAnsi="Calibri"/>
                <w:b w:val="0"/>
                <w:i w:val="0"/>
                <w:sz w:val="18"/>
              </w:rPr>
              <w:t>$3,500</w:t>
            </w:r>
          </w:p>
        </w:tc>
        <w:tc>
          <w:tcPr>
            <w:tcW w:type="dxa" w:w="3120"/>
          </w:tcPr>
          <w:p>
            <w:pPr>
              <w:spacing w:after="20"/>
            </w:pPr>
            <w:r/>
            <w:r>
              <w:rPr>
                <w:rFonts w:ascii="Calibri" w:hAnsi="Calibri"/>
                <w:b w:val="0"/>
                <w:i w:val="0"/>
                <w:sz w:val="18"/>
              </w:rPr>
              <w:t>AGU (Fall Meeting), cryosphere section — poster in Yr 1, talk in later years</w:t>
            </w:r>
          </w:p>
        </w:tc>
      </w:tr>
      <w:tr>
        <w:tc>
          <w:tcPr>
            <w:tcW w:type="dxa" w:w="3120"/>
          </w:tcPr>
          <w:p>
            <w:pPr>
              <w:spacing w:after="20"/>
            </w:pPr>
            <w:r/>
            <w:r>
              <w:rPr>
                <w:rFonts w:ascii="Calibri" w:hAnsi="Calibri"/>
                <w:b w:val="0"/>
                <w:i w:val="0"/>
                <w:sz w:val="18"/>
              </w:rPr>
              <w:t>Publication</w:t>
            </w:r>
          </w:p>
        </w:tc>
        <w:tc>
          <w:tcPr>
            <w:tcW w:type="dxa" w:w="3120"/>
          </w:tcPr>
          <w:p>
            <w:pPr>
              <w:spacing w:after="20"/>
            </w:pPr>
            <w:r/>
            <w:r>
              <w:rPr>
                <w:rFonts w:ascii="Calibri" w:hAnsi="Calibri"/>
                <w:b w:val="0"/>
                <w:i w:val="0"/>
                <w:sz w:val="18"/>
              </w:rPr>
              <w:t>$2,500</w:t>
            </w:r>
          </w:p>
        </w:tc>
        <w:tc>
          <w:tcPr>
            <w:tcW w:type="dxa" w:w="3120"/>
          </w:tcPr>
          <w:p>
            <w:pPr>
              <w:spacing w:after="20"/>
            </w:pPr>
            <w:r/>
            <w:r>
              <w:rPr>
                <w:rFonts w:ascii="Calibri" w:hAnsi="Calibri"/>
                <w:b w:val="0"/>
                <w:i w:val="0"/>
                <w:sz w:val="18"/>
              </w:rPr>
              <w:t>Open-access fee, one first-author paper</w:t>
            </w:r>
          </w:p>
        </w:tc>
      </w:tr>
      <w:tr>
        <w:tc>
          <w:tcPr>
            <w:tcW w:type="dxa" w:w="3120"/>
          </w:tcPr>
          <w:p>
            <w:pPr>
              <w:spacing w:after="20"/>
            </w:pPr>
            <w:r/>
            <w:r>
              <w:rPr>
                <w:rFonts w:ascii="Calibri" w:hAnsi="Calibri"/>
                <w:b w:val="0"/>
                <w:i w:val="0"/>
                <w:sz w:val="18"/>
              </w:rPr>
              <w:t>Computing/storage</w:t>
            </w:r>
          </w:p>
        </w:tc>
        <w:tc>
          <w:tcPr>
            <w:tcW w:type="dxa" w:w="3120"/>
          </w:tcPr>
          <w:p>
            <w:pPr>
              <w:spacing w:after="20"/>
            </w:pPr>
            <w:r/>
            <w:r>
              <w:rPr>
                <w:rFonts w:ascii="Calibri" w:hAnsi="Calibri"/>
                <w:b w:val="0"/>
                <w:i w:val="0"/>
                <w:sz w:val="18"/>
              </w:rPr>
              <w:t>$1,000</w:t>
            </w:r>
          </w:p>
        </w:tc>
        <w:tc>
          <w:tcPr>
            <w:tcW w:type="dxa" w:w="3120"/>
          </w:tcPr>
          <w:p>
            <w:pPr>
              <w:spacing w:after="20"/>
            </w:pPr>
            <w:r/>
            <w:r>
              <w:rPr>
                <w:rFonts w:ascii="Calibri" w:hAnsi="Calibri"/>
                <w:b w:val="0"/>
                <w:i w:val="0"/>
                <w:sz w:val="18"/>
              </w:rPr>
              <w:t>Local storage expansion for full-valley raster stacks; no cloud compute required</w:t>
            </w:r>
          </w:p>
        </w:tc>
      </w:tr>
      <w:tr>
        <w:tc>
          <w:tcPr>
            <w:tcW w:type="dxa" w:w="3120"/>
          </w:tcPr>
          <w:p>
            <w:pPr>
              <w:spacing w:after="20"/>
            </w:pPr>
            <w:r/>
            <w:r>
              <w:rPr>
                <w:rFonts w:ascii="Calibri" w:hAnsi="Calibri"/>
                <w:b w:val="0"/>
                <w:i w:val="0"/>
                <w:sz w:val="18"/>
              </w:rPr>
              <w:t>Year 1 total (direct)</w:t>
            </w:r>
          </w:p>
        </w:tc>
        <w:tc>
          <w:tcPr>
            <w:tcW w:type="dxa" w:w="3120"/>
          </w:tcPr>
          <w:p>
            <w:pPr>
              <w:spacing w:after="20"/>
            </w:pPr>
            <w:r/>
            <w:r>
              <w:rPr>
                <w:rFonts w:ascii="Calibri" w:hAnsi="Calibri"/>
                <w:b w:val="0"/>
                <w:i w:val="0"/>
                <w:sz w:val="18"/>
              </w:rPr>
              <w:t>~$45,924 + fees</w:t>
            </w:r>
          </w:p>
        </w:tc>
        <w:tc>
          <w:tcPr>
            <w:tcW w:type="dxa" w:w="3120"/>
          </w:tcPr>
          <w:p>
            <w:pPr>
              <w:spacing w:after="20"/>
            </w:pPr>
            <w:r/>
            <w:r>
              <w:rPr>
                <w:rFonts w:ascii="Calibri" w:hAnsi="Calibri"/>
                <w:b w:val="0"/>
                <w:i w:val="0"/>
                <w:sz w:val="18"/>
              </w:rPr>
              <w:t>Under the $50,000/year cap</w:t>
            </w:r>
          </w:p>
        </w:tc>
      </w:tr>
    </w:tbl>
    <w:p>
      <w:pPr>
        <w:spacing w:after="40"/>
      </w:pPr>
    </w:p>
    <w:p>
      <w:pPr>
        <w:spacing w:after="160"/>
        <w:jc w:val="center"/>
      </w:pPr>
      <w:r>
        <w:rPr>
          <w:rFonts w:ascii="Calibri" w:hAnsi="Calibri"/>
          <w:b w:val="0"/>
          <w:i/>
          <w:color w:val="666666"/>
          <w:sz w:val="18"/>
        </w:rPr>
        <w:t>Notes for the grants office:</w:t>
      </w:r>
    </w:p>
    <w:p>
      <w:pPr>
        <w:pStyle w:val="ListBullet"/>
        <w:spacing w:after="20"/>
      </w:pPr>
      <w:r>
        <w:rPr>
          <w:rFonts w:ascii="Calibri" w:hAnsi="Calibri"/>
          <w:b w:val="0"/>
          <w:i w:val="0"/>
        </w:rPr>
        <w:t>No PI salary (FINESST does not fund the PI); no field-work or logistics costs.</w:t>
      </w:r>
    </w:p>
    <w:p>
      <w:pPr>
        <w:pStyle w:val="ListBullet"/>
        <w:spacing w:after="20"/>
      </w:pPr>
      <w:r>
        <w:rPr>
          <w:rFonts w:ascii="Calibri" w:hAnsi="Calibri"/>
          <w:b w:val="0"/>
          <w:i w:val="0"/>
        </w:rPr>
        <w:t>State whether the institution treats the FI as an employee, a participant, or a scholarship recipient [confirm] — this determines allowable fringe/indirect costs.</w:t>
      </w:r>
    </w:p>
    <w:p>
      <w:pPr>
        <w:pStyle w:val="ListBullet"/>
        <w:spacing w:after="20"/>
      </w:pPr>
      <w:r>
        <w:rPr>
          <w:rFonts w:ascii="Calibri" w:hAnsi="Calibri"/>
          <w:b w:val="0"/>
          <w:i w:val="0"/>
        </w:rPr>
        <w:t>F&amp;A/indirect: not permitted for scholarship awards; if the FI is treated as an employee (GRA), confirm allowable rates with the research office so the total stays under the $50,000/year cap.</w:t>
      </w:r>
    </w:p>
    <w:p>
      <w:pPr>
        <w:pStyle w:val="ListBullet"/>
        <w:spacing w:after="20"/>
      </w:pPr>
      <w:r>
        <w:rPr>
          <w:rFonts w:ascii="Calibri" w:hAnsi="Calibri"/>
          <w:b w:val="0"/>
          <w:i w:val="0"/>
        </w:rPr>
        <w:t>3-year total stays under the $150,000 cap after stipend/tuition escalation.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Ancillary Documents — Drafts</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