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Physically-Coupled, Cross-Domain Monitoring of Ephemeral-Channel Geomorphic Change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Target division:</w:t>
      </w:r>
      <w:r>
        <w:rPr>
          <w:rFonts w:ascii="Calibri" w:hAnsi="Calibri"/>
          <w:b w:val="0"/>
          <w:i w:val="0"/>
        </w:rPr>
        <w:t xml:space="preserve"> Earth Science Division (EARTH25), Antarctic cryosphere / climate </w:t>
      </w:r>
      <w:r>
        <w:rPr>
          <w:rFonts w:ascii="Calibri" w:hAnsi="Calibri"/>
          <w:b w:val="0"/>
          <w:i w:val="0"/>
        </w:rPr>
        <w:t>Proposal deadline:</w:t>
      </w:r>
      <w:r>
        <w:rPr>
          <w:rFonts w:ascii="Calibri" w:hAnsi="Calibri"/>
          <w:b w:val="0"/>
          <w:i w:val="0"/>
        </w:rPr>
        <w:t xml:space="preserve"> 14 July 2026 (11:59 PM EDT) </w:t>
      </w:r>
      <w:r>
        <w:rPr>
          <w:rFonts w:ascii="Calibri" w:hAnsi="Calibri"/>
          <w:b w:val="0"/>
          <w:i w:val="0"/>
        </w:rPr>
        <w:t>Structure:</w:t>
      </w:r>
      <w:r>
        <w:rPr>
          <w:rFonts w:ascii="Calibri" w:hAnsi="Calibri"/>
          <w:b w:val="0"/>
          <w:i w:val="0"/>
        </w:rPr>
        <w:t xml:space="preserve"> Graduate student = Future Investigator (FI), primary author and intellectual lead; faculty advisor = PI of record. Award up to ~$50,000/yr for up to 3 years.</w:t>
      </w:r>
    </w:p>
    <w:p>
      <w:pPr>
        <w:spacing w:after="160"/>
        <w:ind w:left="360"/>
      </w:pPr>
      <w:r>
        <w:rPr>
          <w:rFonts w:ascii="Calibri" w:hAnsi="Calibri"/>
          <w:b w:val="0"/>
          <w:i w:val="0"/>
          <w:sz w:val="20"/>
        </w:rPr>
        <w:t>Summary.</w:t>
      </w:r>
      <w:r>
        <w:rPr>
          <w:rFonts w:ascii="Calibri" w:hAnsi="Calibri"/>
          <w:b w:val="0"/>
          <w:i w:val="0"/>
          <w:sz w:val="20"/>
        </w:rPr>
        <w:t xml:space="preserve"> This project will transform an existing Antarctic stream-change </w:t>
      </w:r>
      <w:r>
        <w:rPr>
          <w:rFonts w:ascii="Calibri" w:hAnsi="Calibri"/>
          <w:b w:val="0"/>
          <w:i/>
          <w:sz w:val="20"/>
        </w:rPr>
        <w:t>monitor</w:t>
      </w:r>
      <w:r>
        <w:rPr>
          <w:rFonts w:ascii="Calibri" w:hAnsi="Calibri"/>
          <w:b w:val="0"/>
          <w:i w:val="0"/>
          <w:sz w:val="20"/>
        </w:rPr>
        <w:t xml:space="preserve"> into an </w:t>
      </w:r>
      <w:r>
        <w:rPr>
          <w:rFonts w:ascii="Calibri" w:hAnsi="Calibri"/>
          <w:b w:val="0"/>
          <w:i/>
          <w:sz w:val="20"/>
        </w:rPr>
        <w:t>explanatory and predictive</w:t>
      </w:r>
      <w:r>
        <w:rPr>
          <w:rFonts w:ascii="Calibri" w:hAnsi="Calibri"/>
          <w:b w:val="0"/>
          <w:i w:val="0"/>
          <w:sz w:val="20"/>
        </w:rPr>
        <w:t xml:space="preserve"> tool. Building on Barlow (2026), which mapped two decades of ephemeral-channel geomorphic change across the McMurdo Dry Valleys, the proposed work will </w:t>
      </w:r>
      <w:r>
        <w:rPr>
          <w:rFonts w:ascii="Calibri" w:hAnsi="Calibri"/>
          <w:b w:val="0"/>
          <w:i w:val="0"/>
          <w:sz w:val="20"/>
        </w:rPr>
        <w:t>(O1)</w:t>
      </w:r>
      <w:r>
        <w:rPr>
          <w:rFonts w:ascii="Calibri" w:hAnsi="Calibri"/>
          <w:b w:val="0"/>
          <w:i w:val="0"/>
          <w:sz w:val="20"/>
        </w:rPr>
        <w:t xml:space="preserve"> attribute that change to its physical/climate drivers, </w:t>
      </w:r>
      <w:r>
        <w:rPr>
          <w:rFonts w:ascii="Calibri" w:hAnsi="Calibri"/>
          <w:b w:val="0"/>
          <w:i w:val="0"/>
          <w:sz w:val="20"/>
        </w:rPr>
        <w:t>(O2)</w:t>
      </w:r>
      <w:r>
        <w:rPr>
          <w:rFonts w:ascii="Calibri" w:hAnsi="Calibri"/>
          <w:b w:val="0"/>
          <w:i w:val="0"/>
          <w:sz w:val="20"/>
        </w:rPr>
        <w:t xml:space="preserve"> generalize the terrain-only detector across sensors and valleys, and </w:t>
      </w:r>
      <w:r>
        <w:rPr>
          <w:rFonts w:ascii="Calibri" w:hAnsi="Calibri"/>
          <w:b w:val="0"/>
          <w:i w:val="0"/>
          <w:sz w:val="20"/>
        </w:rPr>
        <w:t>(O3)</w:t>
      </w:r>
      <w:r>
        <w:rPr>
          <w:rFonts w:ascii="Calibri" w:hAnsi="Calibri"/>
          <w:b w:val="0"/>
          <w:i w:val="0"/>
          <w:sz w:val="20"/>
        </w:rPr>
        <w:t xml:space="preserve"> deliver calibrated per-pixel uncertainty. The change-detection foundation is already operational and validated against Barlow's published uncertainty ranges, with an initial driver signal shown in §4.</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in an energy-limited system, small increases in solar absorption and permafrost degradation translate directly into </w:t>
      </w:r>
      <w:r>
        <w:rPr>
          <w:rFonts w:ascii="Calibri" w:hAnsi="Calibri"/>
          <w:b w:val="0"/>
          <w:i w:val="0"/>
        </w:rPr>
        <w:t>ephemeral summer streams</w:t>
      </w:r>
      <w:r>
        <w:rPr>
          <w:rFonts w:ascii="Calibri" w:hAnsi="Calibri"/>
          <w:b w:val="0"/>
          <w:i w:val="0"/>
        </w:rPr>
        <w:t xml:space="preserve"> that flow for a few weeks each year, move sediment, and reshape channels.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point-to-plane ICP alignment, </w:t>
      </w:r>
      <w:r>
        <w:rPr>
          <w:rFonts w:ascii="Calibri" w:hAnsi="Calibri"/>
          <w:b w:val="0"/>
          <w:i w:val="0"/>
        </w:rPr>
        <w:t>Laplacian</w:t>
      </w:r>
      <w:r>
        <w:rPr>
          <w:rFonts w:ascii="Calibri" w:hAnsi="Calibri"/>
          <w:b w:val="0"/>
          <w:i w:val="0"/>
        </w:rPr>
        <w:t xml:space="preserve"> error modeling, and outlier-robust </w:t>
      </w:r>
      <w:r>
        <w:rPr>
          <w:rFonts w:ascii="Calibri" w:hAnsi="Calibri"/>
          <w:b w:val="0"/>
          <w:i w:val="0"/>
        </w:rPr>
        <w:t>NMAD</w:t>
      </w:r>
      <w:r>
        <w:rPr>
          <w:rFonts w:ascii="Calibri" w:hAnsi="Calibri"/>
          <w:b w:val="0"/>
          <w:i w:val="0"/>
        </w:rPr>
        <w:t xml:space="preserve"> uncertainty prove free REMA satellite DEMs are accurate enough for centimeter-to-meter stream-corridor change detection. 3. </w:t>
      </w:r>
      <w:r>
        <w:rPr>
          <w:rFonts w:ascii="Calibri" w:hAnsi="Calibri"/>
          <w:b w:val="0"/>
          <w:i w:val="0"/>
        </w:rPr>
        <w:t>Multi-epoch change detection:</w:t>
      </w:r>
      <w:r>
        <w:rPr>
          <w:rFonts w:ascii="Calibri" w:hAnsi="Calibri"/>
          <w:b w:val="0"/>
          <w:i w:val="0"/>
        </w:rPr>
        <w:t xml:space="preserve"> DEM-of-Difference (DoD) inside segmented stream masks, level-of-detection thresholds (LOD95 = 1.96 × NMAD), and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(Fig. 1). This is a genuine scientific increment, not a replication.</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From detection (Barlow 2026; the first four stages) to the proposed attribution and prediction science (last two stages, the new contribution of this project).</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Pair per-stream gross/net/acceleration rates with energy-balance drivers, air/ground temperature, insolation, </w:t>
            </w:r>
            <w:r>
              <w:rPr>
                <w:rFonts w:ascii="Calibri" w:hAnsi="Calibri"/>
                <w:b w:val="0"/>
                <w:i w:val="0"/>
                <w:sz w:val="18"/>
              </w:rPr>
              <w:t>positive-degree-days (PDD)</w:t>
            </w:r>
            <w:r>
              <w:rPr>
                <w:rFonts w:ascii="Calibri" w:hAnsi="Calibri"/>
                <w:b w:val="0"/>
                <w:i w:val="0"/>
                <w:sz w:val="18"/>
              </w:rPr>
              <w:t>, melt-season discharge, glacier mass balance, active-layer depth, from MDV-LTER +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Geomorphic flux is governed by </w:t>
            </w:r>
            <w:r>
              <w:rPr>
                <w:rFonts w:ascii="Calibri" w:hAnsi="Calibri"/>
                <w:b w:val="0"/>
                <w:i/>
                <w:sz w:val="18"/>
              </w:rPr>
              <w:t>cumulative melt energy</w:t>
            </w:r>
            <w:r>
              <w:rPr>
                <w:rFonts w:ascii="Calibri" w:hAnsi="Calibri"/>
                <w:b w:val="0"/>
                <w:i w:val="0"/>
                <w:sz w:val="18"/>
              </w:rPr>
              <w:t>, not raw water volume; a PDD/insolation-based energy model predicts per-stream gross rate better than discharge alone (and explains the residual scatter in Fig. 4).</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Make the terrain-only segmenter robust across sensors (lidar 2001/2014 ↔ REMA) and all four valleys; quantify and </w:t>
            </w:r>
            <w:r>
              <w:rPr>
                <w:rFonts w:ascii="Calibri" w:hAnsi="Calibri"/>
                <w:b w:val="0"/>
                <w:i w:val="0"/>
                <w:sz w:val="18"/>
              </w:rPr>
              <w:t>correct the lidar→satellite domain shift</w:t>
            </w:r>
            <w:r>
              <w:rPr>
                <w:rFonts w:ascii="Calibri" w:hAnsi="Calibri"/>
                <w:b w:val="0"/>
                <w:i w:val="0"/>
                <w:sz w:val="18"/>
              </w:rPr>
              <w:t xml:space="preserve"> that limits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normalization (per-pixel slope/aspect-conditioned bias correction) closes most of the lidar–REMA F1 gap, recovering near-lidar segmentation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Extend the Laplacian/NMAD/LOD framework into a </w:t>
            </w:r>
            <w:r>
              <w:rPr>
                <w:rFonts w:ascii="Calibri" w:hAnsi="Calibri"/>
                <w:b w:val="0"/>
                <w:i w:val="0"/>
                <w:sz w:val="18"/>
              </w:rPr>
              <w:t>per-pixel, sensor-aware confidence layer</w:t>
            </w:r>
            <w:r>
              <w:rPr>
                <w:rFonts w:ascii="Calibri" w:hAnsi="Calibri"/>
                <w:b w:val="0"/>
                <w:i w:val="0"/>
                <w:sz w:val="18"/>
              </w:rPr>
              <w:t xml:space="preserve"> so every change map ships with calibrated uncertainty.</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yields LOD maps whose empirical exceedance matches the nominal 95%, a trustworthy-EO product.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(free/public; see §6).</w:t>
      </w:r>
      <w:r>
        <w:rPr>
          <w:rFonts w:ascii="Calibri" w:hAnsi="Calibri"/>
          <w:b w:val="0"/>
          <w:i w:val="0"/>
        </w:rPr>
        <w:t xml:space="preserve"> Elevation backbone: MDV airborne lidar 2001 (NASA ATM, 2 m) + 2014 (NCALM, 1 m), and REMA v2.0 (2 m, 2021–23). Per-epoch derivatives, elevation, slope, aspect, </w:t>
      </w:r>
      <w:r>
        <w:rPr>
          <w:rFonts w:ascii="Calibri" w:hAnsi="Calibri"/>
          <w:b w:val="0"/>
          <w:i w:val="0"/>
        </w:rPr>
        <w:t>profile curvature</w:t>
      </w:r>
      <w:r>
        <w:rPr>
          <w:rFonts w:ascii="Calibri" w:hAnsi="Calibri"/>
          <w:b w:val="0"/>
          <w:i w:val="0"/>
        </w:rPr>
        <w:t xml:space="preserve"> (signed), </w:t>
      </w:r>
      <w:r>
        <w:rPr>
          <w:rFonts w:ascii="Calibri" w:hAnsi="Calibri"/>
          <w:b w:val="0"/>
          <w:i w:val="0"/>
        </w:rPr>
        <w:t>MFD flow accumulation</w:t>
      </w:r>
      <w:r>
        <w:rPr>
          <w:rFonts w:ascii="Calibri" w:hAnsi="Calibri"/>
          <w:b w:val="0"/>
          <w:i w:val="0"/>
        </w:rPr>
        <w:t xml:space="preserve">, lidar intensity. Drivers: MDV-LTER meteorology (Lake Bonney), </w:t>
      </w:r>
      <w:r>
        <w:rPr>
          <w:rFonts w:ascii="Calibri" w:hAnsi="Calibri"/>
          <w:b w:val="0"/>
          <w:i w:val="0"/>
        </w:rPr>
        <w:t>21 stream-discharge gauges</w:t>
      </w:r>
      <w:r>
        <w:rPr>
          <w:rFonts w:ascii="Calibri" w:hAnsi="Calibri"/>
          <w:b w:val="0"/>
          <w:i w:val="0"/>
        </w:rPr>
        <w:t>, glacier mass balance (7 glaciers), continuous soil T/EC/VWC (active-layer proxy); ERA5 monthly 1993–2024 and AMPS 2.67-km for spatial gap-fill. Labels: MCM-LTER stream centerlines (public stand-in for Barlow's access-gated 217 hand-digitized tiles, see §7 risk).</w:t>
      </w:r>
    </w:p>
    <w:p>
      <w:pPr>
        <w:spacing w:after="120"/>
      </w:pPr>
      <w:r>
        <w:rPr>
          <w:rFonts w:ascii="Calibri" w:hAnsi="Calibri"/>
          <w:b w:val="0"/>
          <w:i w:val="0"/>
        </w:rPr>
        <w:t>O1, Attribution.</w:t>
      </w:r>
      <w:r>
        <w:rPr>
          <w:rFonts w:ascii="Calibri" w:hAnsi="Calibri"/>
          <w:b w:val="0"/>
          <w:i w:val="0"/>
        </w:rPr>
        <w:t xml:space="preserve"> For each gauged stream and epoch, the proposed work will (i) compute gross/net geomorphic rate by DoD inside the channel mask (operational, Fig. 2); (ii) build a per-stream </w:t>
      </w:r>
      <w:r>
        <w:rPr>
          <w:rFonts w:ascii="Calibri" w:hAnsi="Calibri"/>
          <w:b w:val="0"/>
          <w:i w:val="0"/>
        </w:rPr>
        <w:t>energy time series</w:t>
      </w:r>
      <w:r>
        <w:rPr>
          <w:rFonts w:ascii="Calibri" w:hAnsi="Calibri"/>
          <w:b w:val="0"/>
          <w:i w:val="0"/>
        </w:rPr>
        <w:t xml:space="preserve">, melt-season PDD and incoming shortwave from LTER + ERA5/AMPS, cumulative discharge, and active-layer depth; (iii) fit hierarchical regression / random-forest models of rate vs. drivers, with leave-one-stream-out cross-validation; and (iv) test H1 by comparing an energy-balance predictor against discharge-only (the raw-discharge relationship in Fig. 5 is real but incomplete). Acceleration (3-epoch Taylor streams) will be regressed against driver </w:t>
      </w:r>
      <w:r>
        <w:rPr>
          <w:rFonts w:ascii="Calibri" w:hAnsi="Calibri"/>
          <w:b w:val="0"/>
          <w:i/>
        </w:rPr>
        <w:t>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The work will quantify the lidar→REMA domain shift over stable terrain as a function of slope/aspect, learn a correction, retrain/fine-tune the segmenter with sensor augmentation, and evaluate F1 across all four valleys and both sensor regimes. The FI's prior work applying this architecture to a different landscape (§5) shows it transfers across sensors and biomes.</w:t>
      </w:r>
    </w:p>
    <w:p>
      <w:pPr>
        <w:spacing w:after="120"/>
      </w:pPr>
      <w:r>
        <w:rPr>
          <w:rFonts w:ascii="Calibri" w:hAnsi="Calibri"/>
          <w:b w:val="0"/>
          <w:i w:val="0"/>
        </w:rPr>
        <w:t>O3, Calibrated uncertainty.</w:t>
      </w:r>
      <w:r>
        <w:rPr>
          <w:rFonts w:ascii="Calibri" w:hAnsi="Calibri"/>
          <w:b w:val="0"/>
          <w:i w:val="0"/>
        </w:rPr>
        <w:t xml:space="preserve"> The work will replace the single global NMAD with NMAD conditioned on (slope, aspect, sensor), emit a per-pixel LOD raster, and validate calibration by checking that observed sub-LOD residual fractions match nominal confidence on held-out stable terrain (Fig. 4 shows the global version; Laplacian fits the residuals far better than Gaussian).</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 (e.g., an early QC catch, a 2001 nodata bug inflating NMAD to 2.7 m, was identified and fixed).</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The change-detection foundation the proposed work builds on is already operational. A reproduction of Barlow's change detection on Taylor Valley falls </w:t>
      </w:r>
      <w:r>
        <w:rPr>
          <w:rFonts w:ascii="Calibri" w:hAnsi="Calibri"/>
          <w:b w:val="0"/>
          <w:i w:val="0"/>
        </w:rPr>
        <w:t>inside her published uncertainty ranges</w:t>
      </w:r>
      <w:r>
        <w:rPr>
          <w:rFonts w:ascii="Calibri" w:hAnsi="Calibri"/>
          <w:b w:val="0"/>
          <w:i w:val="0"/>
        </w:rPr>
        <w:t xml:space="preserve"> (below), and an initial driver analysis surfaces the first attribution signal that O1 will develop.</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*DEM-of-Difference over the same Taylor Valley stream-corridor window, only</w:t>
      </w:r>
    </w:p>
    <w:p>
      <w:pPr>
        <w:spacing w:after="120"/>
      </w:pPr>
      <w:r>
        <w:rPr>
          <w:rFonts w:ascii="Calibri" w:hAnsi="Calibri"/>
          <w:b w:val="0"/>
          <w:i w:val="0"/>
        </w:rPr>
        <w:t>|Δz| &gt; LOD95 shown. (a) 2001→2014 lidar–lidar; (b) 2014→2021-23 lidar–REMA. Coherent erosion/deposition patterns emerge above the noise floor; REMA auto-reprojected from EPSG:3031 to the lidar grid. The large flat signal in (a) is Lake Fryxell's ~1.5 m level rise, detected and excluded from all stream rates by an automated standing-water screen.*</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 pair</w:t>
            </w:r>
          </w:p>
        </w:tc>
        <w:tc>
          <w:tcPr>
            <w:tcW w:type="dxa" w:w="1930"/>
            <w:shd w:val="clear" w:fill="E8E8E8"/>
          </w:tcPr>
          <w:p>
            <w:pPr>
              <w:spacing w:after="20"/>
            </w:pPr>
            <w:r>
              <w:rPr>
                <w:b/>
              </w:rPr>
            </w:r>
            <w:r>
              <w:rPr>
                <w:rFonts w:ascii="Calibri" w:hAnsi="Calibri"/>
                <w:b/>
                <w:i w:val="0"/>
                <w:sz w:val="18"/>
              </w:rPr>
              <w:t>NMAD</w:t>
            </w:r>
          </w:p>
        </w:tc>
        <w:tc>
          <w:tcPr>
            <w:tcW w:type="dxa" w:w="1930"/>
            <w:shd w:val="clear" w:fill="E8E8E8"/>
          </w:tcPr>
          <w:p>
            <w:pPr>
              <w:spacing w:after="20"/>
            </w:pPr>
            <w:r>
              <w:rPr>
                <w:b/>
              </w:rPr>
            </w:r>
            <w:r>
              <w:rPr>
                <w:rFonts w:ascii="Calibri" w:hAnsi="Calibri"/>
                <w:b/>
                <w:i w:val="0"/>
                <w:sz w:val="18"/>
              </w:rPr>
              <w:t>LOD95</w:t>
            </w:r>
          </w:p>
        </w:tc>
        <w:tc>
          <w:tcPr>
            <w:tcW w:type="dxa" w:w="1930"/>
            <w:shd w:val="clear" w:fill="E8E8E8"/>
          </w:tcPr>
          <w:p>
            <w:pPr>
              <w:spacing w:after="20"/>
            </w:pPr>
            <w:r>
              <w:rPr>
                <w:b/>
              </w:rPr>
            </w:r>
            <w:r>
              <w:rPr>
                <w:rFonts w:ascii="Calibri" w:hAnsi="Calibri"/>
                <w:b/>
                <w:i w:val="0"/>
                <w:sz w:val="18"/>
              </w:rPr>
              <w:t>Barlow's published range</w:t>
            </w:r>
          </w:p>
        </w:tc>
        <w:tc>
          <w:tcPr>
            <w:tcW w:type="dxa" w:w="1930"/>
            <w:shd w:val="clear" w:fill="E8E8E8"/>
          </w:tcPr>
          <w:p>
            <w:pPr>
              <w:spacing w:after="20"/>
            </w:pPr>
            <w:r>
              <w:rPr>
                <w:b/>
              </w:rPr>
            </w:r>
            <w:r>
              <w:rPr>
                <w:rFonts w:ascii="Calibri" w:hAnsi="Calibri"/>
                <w:b/>
                <w:i w:val="0"/>
                <w:sz w:val="18"/>
              </w:rPr>
              <w:t>In range?</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 xml:space="preserve">Point-to-point </w:t>
      </w:r>
      <w:r>
        <w:rPr>
          <w:rFonts w:ascii="Calibri" w:hAnsi="Calibri"/>
          <w:b w:val="0"/>
          <w:i w:val="0"/>
        </w:rPr>
        <w:t>ICP</w:t>
      </w:r>
      <w:r>
        <w:rPr>
          <w:rFonts w:ascii="Calibri" w:hAnsi="Calibri"/>
          <w:b w:val="0"/>
          <w:i w:val="0"/>
        </w:rPr>
        <w:t xml:space="preserve"> converged with fitness 0.95 m² (mean-squared correspondence distance) and improved DoD NMAD on high-relief windows; on the flat valley floor it correctly added no benefit, exactly the relief-dependence Barlow's point-to-plane ICP exhibits.</w:t>
      </w:r>
    </w:p>
    <w:p>
      <w:pPr>
        <w:spacing w:after="160"/>
        <w:jc w:val="center"/>
      </w:pPr>
      <w:r>
        <w:rPr>
          <w:rFonts w:ascii="Calibri" w:hAnsi="Calibri"/>
          <w:b w:val="0"/>
          <w:i/>
          <w:color w:val="666666"/>
          <w:sz w:val="18"/>
        </w:rPr>
        <w:t>(b) Per-stream rates (Fig. 3), the masked products O1 consumes.</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 xml:space="preserve">Per-stream </w:t>
      </w:r>
      <w:r>
        <w:rPr>
          <w:rFonts w:ascii="Calibri" w:hAnsi="Calibri"/>
          <w:b w:val="0"/>
          <w:i/>
        </w:rPr>
        <w:t>specific</w:t>
      </w:r>
      <w:r>
        <w:rPr>
          <w:rFonts w:ascii="Calibri" w:hAnsi="Calibri"/>
          <w:b w:val="0"/>
          <w:i/>
        </w:rPr>
        <w:t xml:space="preserve"> (area-normalized, mm/yr) gross and net sediment-flux rates for six gauged Taylor Valley streams, both epochs, channels masked to MCM-LTER centerlines. Specific rates are used because the valid-data footprint differs between epochs (the 2001 ATM lidar swath is narrower than REMA coverage), so raw m³/yr totals would confound real change with coverage.</w:t>
      </w:r>
    </w:p>
    <w:p>
      <w:pPr>
        <w:spacing w:after="160"/>
        <w:jc w:val="center"/>
      </w:pPr>
      <w:r>
        <w:rPr>
          <w:rFonts w:ascii="Calibri" w:hAnsi="Calibri"/>
          <w:b w:val="0"/>
          <w:i/>
          <w:color w:val="666666"/>
          <w:sz w:val="18"/>
        </w:rPr>
        <w:t>(c) Robust error model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val="0"/>
          <w:i/>
        </w:rPr>
        <w:t>Figure 4.</w:t>
      </w:r>
      <w:r>
        <w:rPr>
          <w:rFonts w:ascii="Calibri" w:hAnsi="Calibri"/>
          <w:b w:val="0"/>
          <w:i w:val="0"/>
        </w:rPr>
        <w:t xml:space="preserve"> </w:t>
      </w:r>
      <w:r>
        <w:rPr>
          <w:rFonts w:ascii="Calibri" w:hAnsi="Calibri"/>
          <w:b w:val="0"/>
          <w:i/>
        </w:rPr>
        <w:t xml:space="preserve">Stable-terrain DoD residuals are sharply </w:t>
      </w:r>
      <w:r>
        <w:rPr>
          <w:rFonts w:ascii="Calibri" w:hAnsi="Calibri"/>
          <w:b w:val="0"/>
          <w:i/>
        </w:rPr>
        <w:t>Laplacian</w:t>
      </w:r>
      <w:r>
        <w:rPr>
          <w:rFonts w:ascii="Calibri" w:hAnsi="Calibri"/>
          <w:b w:val="0"/>
          <w:i/>
        </w:rPr>
        <w:t>, not Gaussian, the fat tails would inflate a σ-based LOD. This reproduces Barlow's NMAD/Laplacian finding and is the launch point for the proposed per-pixel calibrated-uncertainty layer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Per-stream geomorphic rate vs. mean gauged melt discharge (log-log; lake-level signal screened out). In the lidar–lidar epoch the </w:t>
      </w:r>
      <w:r>
        <w:rPr>
          <w:rFonts w:ascii="Calibri" w:hAnsi="Calibri"/>
          <w:b w:val="0"/>
          <w:i/>
        </w:rPr>
        <w:t>specific (area-normalized) rate scales strongly with discharge: Pearson r = +0.95 (p = 0.004), Spearman ρ = +0.94 (p = 0.005)</w:t>
      </w:r>
      <w:r>
        <w:rPr>
          <w:rFonts w:ascii="Calibri" w:hAnsi="Calibri"/>
          <w:b w:val="0"/>
          <w:i/>
        </w:rPr>
        <w:t xml:space="preserve">, and the relationship survives leaving out any single stream. The REMA epoch shows no coherent relation under sparse post-2015 gauge coverage (48–362 gauged days per stream) and is plotted without a fit. This motivates O1 directly: where gauges are dense the melt–sediment link is strong, so the proposed work will replace patchy gauging with </w:t>
      </w:r>
      <w:r>
        <w:rPr>
          <w:rFonts w:ascii="Calibri" w:hAnsi="Calibri"/>
          <w:b w:val="0"/>
          <w:i/>
        </w:rPr>
        <w:t>modeled melt energy</w:t>
      </w:r>
      <w:r>
        <w:rPr>
          <w:rFonts w:ascii="Calibri" w:hAnsi="Calibri"/>
          <w:b w:val="0"/>
          <w:i/>
        </w:rPr>
        <w:t xml:space="preserve"> (PDD/insolation/active-layer) to extend attribution across epochs and valleys, turning correlation into attribution.</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directly de-risking </w:t>
      </w:r>
      <w:r>
        <w:rPr>
          <w:rFonts w:ascii="Calibri" w:hAnsi="Calibri"/>
          <w:b w:val="0"/>
          <w:i w:val="0"/>
        </w:rPr>
        <w:t>O2</w:t>
      </w:r>
      <w:r>
        <w:rPr>
          <w:rFonts w:ascii="Calibri" w:hAnsi="Calibri"/>
          <w:b w:val="0"/>
          <w:i w:val="0"/>
        </w:rPr>
        <w:t>, and that the FI already commands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xml:space="preserve"> and already in hand (regenerable from source via scripted pipelines), so data availability poses no schedule risk. The single access-gated dependency is Barlow's training labels (mitigated below and in §7).</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Status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the sensor O2 must generalize to</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 scripted; demonstrated (Taylor pilot)</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 (source of the Fig. 5 signal)</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1993-2024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(used in Figs. 3/5) + label stand-in</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§7)</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O2 generalization test bed</w:t>
            </w:r>
          </w:p>
        </w:tc>
        <w:tc>
          <w:tcPr>
            <w:tcW w:type="dxa" w:w="2412"/>
          </w:tcPr>
          <w:p>
            <w:pPr>
              <w:spacing w:after="20"/>
            </w:pPr>
            <w:r/>
            <w:r>
              <w:rPr>
                <w:rFonts w:ascii="Calibri" w:hAnsi="Calibri"/>
                <w:b w:val="0"/>
                <w:i w:val="0"/>
                <w:sz w:val="18"/>
              </w:rPr>
              <w:t>✅ DEMs in hand; per-valley stacks to build</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7.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Full driver harmonization (PDD/insolation/active-layer series per gauged stream); O1 attribution model on Taylor Valley (extending the Fig. 5 signal);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LTER centerlines already work as a QC stand-in (Fig. 2–3 built on them);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Figures generated by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