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NA</w:t>
      </w:r>
    </w:p>
    <w:p w:rsidR="00000000" w:rsidDel="00000000" w:rsidP="00000000" w:rsidRDefault="00000000" w:rsidRPr="00000000" w14:paraId="00000006">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This needs to be adhered to as Botium Toys conduct business and collect personal information from people worldwide, including E.U.</w:t>
      </w:r>
      <w:r w:rsidDel="00000000" w:rsidR="00000000" w:rsidRPr="00000000">
        <w:rPr>
          <w:rtl w:val="0"/>
        </w:rPr>
      </w:r>
    </w:p>
    <w:p w:rsidR="00000000" w:rsidDel="00000000" w:rsidP="00000000" w:rsidRDefault="00000000" w:rsidRPr="00000000" w14:paraId="00000009">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This compliance needs to be adhered to as Botium Toys accept,process, store and transmit credit card information.  PCI DSS objective is to avoid credit card frauds.</w:t>
      </w:r>
      <w:r w:rsidDel="00000000" w:rsidR="00000000" w:rsidRPr="00000000">
        <w:rPr>
          <w:rtl w:val="0"/>
        </w:rPr>
      </w:r>
    </w:p>
    <w:p w:rsidR="00000000" w:rsidDel="00000000" w:rsidP="00000000" w:rsidRDefault="00000000" w:rsidRPr="00000000" w14:paraId="0000000C">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NA</w:t>
      </w:r>
      <w:r w:rsidDel="00000000" w:rsidR="00000000" w:rsidRPr="00000000">
        <w:rPr>
          <w:rtl w:val="0"/>
        </w:rPr>
      </w:r>
    </w:p>
    <w:p w:rsidR="00000000" w:rsidDel="00000000" w:rsidP="00000000" w:rsidRDefault="00000000" w:rsidRPr="00000000" w14:paraId="0000000F">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1">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Botium Toys needs to establish and enforce appropriate user access for internal and external (third-party vendor) personnel to mitigate risk and ensure data safety.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